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A460" w14:textId="77777777" w:rsidR="001B2E8F" w:rsidRPr="006378AD" w:rsidRDefault="001B2E8F" w:rsidP="00641885">
      <w:pPr>
        <w:pStyle w:val="Heading2"/>
      </w:pPr>
      <w:r>
        <w:rPr>
          <w:noProof/>
        </w:rPr>
        <mc:AlternateContent>
          <mc:Choice Requires="wps">
            <w:drawing>
              <wp:anchor distT="0" distB="0" distL="114300" distR="114300" simplePos="0" relativeHeight="251659264" behindDoc="0" locked="0" layoutInCell="1" allowOverlap="1" wp14:anchorId="6ABC391F" wp14:editId="51E854C5">
                <wp:simplePos x="0" y="0"/>
                <wp:positionH relativeFrom="column">
                  <wp:posOffset>-1270</wp:posOffset>
                </wp:positionH>
                <wp:positionV relativeFrom="paragraph">
                  <wp:posOffset>0</wp:posOffset>
                </wp:positionV>
                <wp:extent cx="7139305" cy="341630"/>
                <wp:effectExtent l="0" t="0" r="10795" b="13970"/>
                <wp:wrapSquare wrapText="bothSides"/>
                <wp:docPr id="1600008535" name="Text Box 1"/>
                <wp:cNvGraphicFramePr/>
                <a:graphic xmlns:a="http://schemas.openxmlformats.org/drawingml/2006/main">
                  <a:graphicData uri="http://schemas.microsoft.com/office/word/2010/wordprocessingShape">
                    <wps:wsp>
                      <wps:cNvSpPr txBox="1"/>
                      <wps:spPr>
                        <a:xfrm>
                          <a:off x="0" y="0"/>
                          <a:ext cx="7139305" cy="341630"/>
                        </a:xfrm>
                        <a:prstGeom prst="rect">
                          <a:avLst/>
                        </a:prstGeom>
                        <a:solidFill>
                          <a:srgbClr val="16123E"/>
                        </a:solidFill>
                        <a:ln w="6350">
                          <a:solidFill>
                            <a:schemeClr val="bg1"/>
                          </a:solidFill>
                        </a:ln>
                      </wps:spPr>
                      <wps:txbx>
                        <w:txbxContent>
                          <w:p w14:paraId="40D81AE6" w14:textId="77777777" w:rsidR="001B2E8F" w:rsidRPr="00641885" w:rsidRDefault="001B2E8F" w:rsidP="00641885">
                            <w:pPr>
                              <w:pStyle w:val="Heading1"/>
                            </w:pPr>
                            <w:r w:rsidRPr="00641885">
                              <w:t>WEBSITE POSTING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391F" id="_x0000_t202" coordsize="21600,21600" o:spt="202" path="m,l,21600r21600,l21600,xe">
                <v:stroke joinstyle="miter"/>
                <v:path gradientshapeok="t" o:connecttype="rect"/>
              </v:shapetype>
              <v:shape id="Text Box 1" o:spid="_x0000_s1026" type="#_x0000_t202" style="position:absolute;margin-left:-.1pt;margin-top:0;width:562.1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" fillcolor="#16123e" strokecolor="white [3212]" strokeweight=".5pt">
                <v:textbox>
                  <w:txbxContent>
                    <w:p w:rsidR="001B2E8F" w:rsidRPr="00641885" w:rsidRDefault="001B2E8F" w:rsidP="00641885">
                      <w:pPr>
                        <w:pStyle w:val="Heading1"/>
                      </w:pPr>
                      <w:r w:rsidRPr="00641885">
                        <w:t>WEBSITE POSTING REQUIREMENTS</w:t>
                      </w:r>
                    </w:p>
                  </w:txbxContent>
                </v:textbox>
                <w10:wrap type="square"/>
              </v:shape>
            </w:pict>
          </mc:Fallback>
        </mc:AlternateContent>
      </w:r>
      <w:r w:rsidR="006E335E" w:rsidRPr="006378AD">
        <w:t>State Requirements</w:t>
      </w:r>
    </w:p>
    <w:p w14:paraId="3D8CBB01" w14:textId="77777777" w:rsidR="006E335E" w:rsidRPr="006378AD" w:rsidRDefault="006E335E"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School board meeting minutes of executive sessions.</w:t>
      </w:r>
      <w:r w:rsidR="001360A5" w:rsidRPr="006378AD">
        <w:rPr>
          <w:rFonts w:ascii="Cambria" w:hAnsi="Cambria"/>
          <w:color w:val="000000" w:themeColor="text1"/>
        </w:rPr>
        <w:t xml:space="preserve"> C.R.S. § 22-32-108(5)(d). </w:t>
      </w:r>
      <w:r w:rsidR="005A2556" w:rsidRPr="006378AD">
        <w:rPr>
          <w:rStyle w:val="FootnoteReference"/>
          <w:rFonts w:ascii="Cambria" w:hAnsi="Cambria"/>
          <w:color w:val="000000" w:themeColor="text1"/>
        </w:rPr>
        <w:footnoteReference w:id="1"/>
      </w:r>
      <w:r w:rsidR="005A2556" w:rsidRPr="006378AD">
        <w:rPr>
          <w:rFonts w:ascii="Cambria" w:hAnsi="Cambria"/>
          <w:color w:val="000000" w:themeColor="text1"/>
        </w:rPr>
        <w:t xml:space="preserve">  </w:t>
      </w:r>
    </w:p>
    <w:p w14:paraId="596FDDDD" w14:textId="77777777" w:rsidR="00F5088C" w:rsidRPr="006378AD" w:rsidRDefault="00F5088C" w:rsidP="00F5088C">
      <w:pPr>
        <w:pStyle w:val="ListParagraph"/>
        <w:rPr>
          <w:rFonts w:ascii="Cambria" w:hAnsi="Cambria" w:cs="Times New Roman"/>
          <w:color w:val="000000" w:themeColor="text1"/>
        </w:rPr>
      </w:pPr>
    </w:p>
    <w:p w14:paraId="339F3DD4" w14:textId="77777777" w:rsidR="006E335E" w:rsidRPr="006378AD" w:rsidRDefault="005A2556"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For</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c</w:t>
      </w:r>
      <w:r w:rsidR="006E335E" w:rsidRPr="006378AD">
        <w:rPr>
          <w:rFonts w:ascii="Cambria" w:hAnsi="Cambria" w:cs="Times New Roman"/>
          <w:color w:val="000000" w:themeColor="text1"/>
        </w:rPr>
        <w:t>andidates for school director elections</w:t>
      </w:r>
      <w:r w:rsidRPr="006378AD">
        <w:rPr>
          <w:rFonts w:ascii="Cambria" w:hAnsi="Cambria" w:cs="Times New Roman"/>
          <w:color w:val="000000" w:themeColor="text1"/>
        </w:rPr>
        <w:t>, an image of the candidate’s written notice of intention and their contact information,</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if the</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district has</w:t>
      </w:r>
      <w:r w:rsidR="006E335E" w:rsidRPr="006378AD">
        <w:rPr>
          <w:rFonts w:ascii="Cambria" w:hAnsi="Cambria" w:cs="Times New Roman"/>
          <w:color w:val="000000" w:themeColor="text1"/>
        </w:rPr>
        <w:t xml:space="preserve"> 1,000+ pupils.</w:t>
      </w:r>
      <w:r w:rsidR="001360A5" w:rsidRPr="006378AD">
        <w:rPr>
          <w:rFonts w:ascii="Cambria" w:hAnsi="Cambria" w:cs="Times New Roman"/>
          <w:color w:val="000000" w:themeColor="text1"/>
        </w:rPr>
        <w:t xml:space="preserve"> C</w:t>
      </w:r>
      <w:r w:rsidR="001360A5" w:rsidRPr="006378AD">
        <w:rPr>
          <w:rFonts w:ascii="Cambria" w:hAnsi="Cambria"/>
          <w:color w:val="000000" w:themeColor="text1"/>
        </w:rPr>
        <w:t>.R.S. § 22-31-107(</w:t>
      </w:r>
      <w:proofErr w:type="gramStart"/>
      <w:r w:rsidR="001360A5" w:rsidRPr="006378AD">
        <w:rPr>
          <w:rFonts w:ascii="Cambria" w:hAnsi="Cambria"/>
          <w:color w:val="000000" w:themeColor="text1"/>
        </w:rPr>
        <w:t>2.5)(</w:t>
      </w:r>
      <w:proofErr w:type="gramEnd"/>
      <w:r w:rsidR="001360A5" w:rsidRPr="006378AD">
        <w:rPr>
          <w:rFonts w:ascii="Cambria" w:hAnsi="Cambria"/>
          <w:color w:val="000000" w:themeColor="text1"/>
        </w:rPr>
        <w:t>a)(I).</w:t>
      </w:r>
    </w:p>
    <w:p w14:paraId="7F13BFFC" w14:textId="77777777" w:rsidR="00F5088C" w:rsidRPr="006378AD" w:rsidRDefault="00F5088C" w:rsidP="00F5088C">
      <w:pPr>
        <w:pStyle w:val="ListParagraph"/>
        <w:rPr>
          <w:rFonts w:ascii="Cambria" w:hAnsi="Cambria" w:cs="Times New Roman"/>
          <w:color w:val="000000" w:themeColor="text1"/>
        </w:rPr>
      </w:pPr>
    </w:p>
    <w:p w14:paraId="33B91BD0" w14:textId="77777777" w:rsidR="006E335E" w:rsidRPr="006378AD" w:rsidRDefault="006E335E"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 xml:space="preserve">Specific financial information under the Financial </w:t>
      </w:r>
      <w:r w:rsidR="005A2556" w:rsidRPr="006378AD">
        <w:rPr>
          <w:rFonts w:ascii="Cambria" w:hAnsi="Cambria" w:cs="Times New Roman"/>
          <w:color w:val="000000" w:themeColor="text1"/>
        </w:rPr>
        <w:t>T</w:t>
      </w:r>
      <w:r w:rsidRPr="006378AD">
        <w:rPr>
          <w:rFonts w:ascii="Cambria" w:hAnsi="Cambria" w:cs="Times New Roman"/>
          <w:color w:val="000000" w:themeColor="text1"/>
        </w:rPr>
        <w:t>ransparency template</w:t>
      </w:r>
      <w:r w:rsidR="005A2556" w:rsidRPr="006378AD">
        <w:rPr>
          <w:rFonts w:ascii="Cambria" w:hAnsi="Cambria" w:cs="Times New Roman"/>
          <w:color w:val="000000" w:themeColor="text1"/>
        </w:rPr>
        <w:t xml:space="preserve"> </w:t>
      </w:r>
      <w:r w:rsidR="005A2556" w:rsidRPr="006378AD">
        <w:rPr>
          <w:rFonts w:ascii="Cambria" w:hAnsi="Cambria"/>
          <w:color w:val="000000" w:themeColor="text1"/>
        </w:rPr>
        <w:t xml:space="preserve">as required by the </w:t>
      </w:r>
      <w:proofErr w:type="gramStart"/>
      <w:r w:rsidR="005A2556" w:rsidRPr="006378AD">
        <w:rPr>
          <w:rFonts w:ascii="Cambria" w:hAnsi="Cambria"/>
          <w:color w:val="000000" w:themeColor="text1"/>
        </w:rPr>
        <w:t>Public School</w:t>
      </w:r>
      <w:proofErr w:type="gramEnd"/>
      <w:r w:rsidR="005A2556" w:rsidRPr="006378AD">
        <w:rPr>
          <w:rFonts w:ascii="Cambria" w:hAnsi="Cambria"/>
          <w:color w:val="000000" w:themeColor="text1"/>
        </w:rPr>
        <w:t xml:space="preserve"> Financial Transparency Act.</w:t>
      </w:r>
      <w:r w:rsidR="001360A5" w:rsidRPr="006378AD">
        <w:rPr>
          <w:rFonts w:ascii="Cambria" w:hAnsi="Cambria"/>
          <w:color w:val="000000" w:themeColor="text1"/>
        </w:rPr>
        <w:t xml:space="preserve"> C.R.S. § 22-44-301, </w:t>
      </w:r>
      <w:r w:rsidR="001360A5" w:rsidRPr="006378AD">
        <w:rPr>
          <w:rFonts w:ascii="Cambria" w:hAnsi="Cambria"/>
          <w:i/>
          <w:color w:val="000000" w:themeColor="text1"/>
        </w:rPr>
        <w:t>et seq</w:t>
      </w:r>
      <w:r w:rsidR="001360A5" w:rsidRPr="006378AD">
        <w:rPr>
          <w:rFonts w:ascii="Cambria" w:hAnsi="Cambria"/>
          <w:color w:val="000000" w:themeColor="text1"/>
        </w:rPr>
        <w:t xml:space="preserve">. </w:t>
      </w:r>
      <w:r w:rsidR="005A2556" w:rsidRPr="006378AD">
        <w:rPr>
          <w:rStyle w:val="FootnoteReference"/>
          <w:rFonts w:ascii="Cambria" w:hAnsi="Cambria"/>
          <w:color w:val="000000" w:themeColor="text1"/>
        </w:rPr>
        <w:footnoteReference w:id="2"/>
      </w:r>
    </w:p>
    <w:p w14:paraId="68EA3575" w14:textId="77777777" w:rsidR="00F5088C" w:rsidRPr="006378AD" w:rsidRDefault="00F5088C" w:rsidP="00F5088C">
      <w:pPr>
        <w:pStyle w:val="ListParagraph"/>
        <w:rPr>
          <w:rFonts w:ascii="Cambria" w:hAnsi="Cambria" w:cs="Times New Roman"/>
          <w:color w:val="000000" w:themeColor="text1"/>
        </w:rPr>
      </w:pPr>
    </w:p>
    <w:p w14:paraId="7C11A9A2" w14:textId="77777777" w:rsidR="00F5088C" w:rsidRPr="001B2E8F" w:rsidRDefault="00F5088C" w:rsidP="001B2E8F">
      <w:pPr>
        <w:pStyle w:val="ListParagraph"/>
        <w:widowControl w:val="0"/>
        <w:numPr>
          <w:ilvl w:val="0"/>
          <w:numId w:val="1"/>
        </w:numPr>
        <w:autoSpaceDE w:val="0"/>
        <w:autoSpaceDN w:val="0"/>
        <w:adjustRightInd w:val="0"/>
        <w:spacing w:after="0" w:line="240" w:lineRule="auto"/>
        <w:rPr>
          <w:rFonts w:ascii="Cambria" w:hAnsi="Cambria" w:cs="Times New Roman"/>
          <w:color w:val="000000" w:themeColor="text1"/>
        </w:rPr>
      </w:pPr>
      <w:r w:rsidRPr="006378AD">
        <w:rPr>
          <w:rFonts w:ascii="Cambria" w:hAnsi="Cambria" w:cs="Times New Roman"/>
          <w:color w:val="000000" w:themeColor="text1"/>
        </w:rPr>
        <w:t>A list of the statutes for which the district has received a waiver from the State Board of Education and a copy of the plan that explains how the district will meet the intent of the waived statute.</w:t>
      </w:r>
      <w:r w:rsidR="001360A5" w:rsidRPr="006378AD">
        <w:rPr>
          <w:rFonts w:ascii="Cambria" w:hAnsi="Cambria" w:cs="Times New Roman"/>
          <w:color w:val="000000" w:themeColor="text1"/>
        </w:rPr>
        <w:t xml:space="preserve"> C</w:t>
      </w:r>
      <w:r w:rsidR="001360A5" w:rsidRPr="006378AD">
        <w:rPr>
          <w:rFonts w:ascii="Cambria" w:hAnsi="Cambria"/>
          <w:color w:val="000000" w:themeColor="text1"/>
        </w:rPr>
        <w:t xml:space="preserve">.R.S. § 22-44-301, </w:t>
      </w:r>
      <w:r w:rsidR="001360A5" w:rsidRPr="006378AD">
        <w:rPr>
          <w:rFonts w:ascii="Cambria" w:hAnsi="Cambria"/>
          <w:i/>
          <w:color w:val="000000" w:themeColor="text1"/>
        </w:rPr>
        <w:t>et seq</w:t>
      </w:r>
      <w:r w:rsidR="001360A5" w:rsidRPr="006378AD">
        <w:rPr>
          <w:rFonts w:ascii="Cambria" w:hAnsi="Cambria"/>
          <w:color w:val="000000" w:themeColor="text1"/>
        </w:rPr>
        <w:t>.</w:t>
      </w:r>
      <w:r w:rsidRPr="006378AD">
        <w:rPr>
          <w:rFonts w:ascii="Cambria" w:hAnsi="Cambria" w:cs="Times New Roman"/>
          <w:color w:val="000000" w:themeColor="text1"/>
        </w:rPr>
        <w:t xml:space="preserve"> The list must include waivers granted to the school district as a whole and waivers granted to one or more schools in the district, other than charter schools. The district must list separately each waiver granted to an innovation school or schools in an innovation zone.</w:t>
      </w:r>
      <w:r w:rsidR="001360A5" w:rsidRPr="006378AD">
        <w:rPr>
          <w:rFonts w:ascii="Cambria" w:hAnsi="Cambria" w:cs="Times New Roman"/>
          <w:color w:val="000000" w:themeColor="text1"/>
        </w:rPr>
        <w:t xml:space="preserve"> </w:t>
      </w:r>
      <w:r w:rsidR="001360A5" w:rsidRPr="006378AD">
        <w:rPr>
          <w:rFonts w:ascii="Cambria" w:hAnsi="Cambria"/>
          <w:color w:val="000000" w:themeColor="text1"/>
        </w:rPr>
        <w:t>C.R.S. § 22-44-305(1)(</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 xml:space="preserve">(c). </w:t>
      </w:r>
      <w:r w:rsidRPr="006378AD">
        <w:rPr>
          <w:rStyle w:val="FootnoteReference"/>
          <w:rFonts w:ascii="Cambria" w:hAnsi="Cambria" w:cs="Times New Roman"/>
          <w:color w:val="000000" w:themeColor="text1"/>
        </w:rPr>
        <w:footnoteReference w:id="3"/>
      </w:r>
      <w:r w:rsidRPr="006378AD">
        <w:rPr>
          <w:rFonts w:ascii="Cambria" w:hAnsi="Cambria" w:cs="Times New Roman"/>
          <w:color w:val="000000" w:themeColor="text1"/>
        </w:rPr>
        <w:t xml:space="preserve"> </w:t>
      </w:r>
      <w:r w:rsidRPr="006378AD">
        <w:rPr>
          <w:rFonts w:ascii="Cambria" w:hAnsi="Cambria" w:cs="Times New Roman"/>
          <w:color w:val="000000" w:themeColor="text1"/>
        </w:rPr>
        <w:br/>
      </w:r>
    </w:p>
    <w:p w14:paraId="0B0883C9" w14:textId="77777777" w:rsidR="00F5088C" w:rsidRPr="006378AD" w:rsidRDefault="006E335E" w:rsidP="00F5088C">
      <w:pPr>
        <w:pStyle w:val="ListParagraph"/>
        <w:widowControl w:val="0"/>
        <w:numPr>
          <w:ilvl w:val="0"/>
          <w:numId w:val="1"/>
        </w:numPr>
        <w:autoSpaceDE w:val="0"/>
        <w:autoSpaceDN w:val="0"/>
        <w:adjustRightInd w:val="0"/>
        <w:spacing w:after="0" w:line="240" w:lineRule="auto"/>
        <w:rPr>
          <w:rFonts w:ascii="Cambria" w:hAnsi="Cambria" w:cs="Times New Roman"/>
          <w:color w:val="000000" w:themeColor="text1"/>
        </w:rPr>
      </w:pPr>
      <w:r w:rsidRPr="006378AD">
        <w:rPr>
          <w:rFonts w:ascii="Cambria" w:hAnsi="Cambria" w:cs="Times New Roman"/>
          <w:color w:val="000000" w:themeColor="text1"/>
        </w:rPr>
        <w:t xml:space="preserve"> </w:t>
      </w:r>
      <w:r w:rsidR="00F5088C" w:rsidRPr="006378AD">
        <w:rPr>
          <w:rFonts w:ascii="Cambria" w:hAnsi="Cambria"/>
          <w:color w:val="000000" w:themeColor="text1"/>
        </w:rPr>
        <w:t>Notice of certain financial information, prior to an election at which the district is submitting a ballot issue concerning creation of debt or other financial obligation.</w:t>
      </w:r>
      <w:r w:rsidR="001360A5" w:rsidRPr="006378AD">
        <w:rPr>
          <w:rFonts w:ascii="Cambria" w:hAnsi="Cambria"/>
          <w:color w:val="000000" w:themeColor="text1"/>
        </w:rPr>
        <w:t xml:space="preserve"> C.R.S. § 1-7-908(1)(a). </w:t>
      </w:r>
      <w:r w:rsidR="00F5088C" w:rsidRPr="006378AD">
        <w:rPr>
          <w:rStyle w:val="FootnoteReference"/>
          <w:rFonts w:ascii="Cambria" w:hAnsi="Cambria"/>
          <w:color w:val="000000" w:themeColor="text1"/>
        </w:rPr>
        <w:footnoteReference w:id="4"/>
      </w:r>
      <w:r w:rsidR="00F5088C" w:rsidRPr="006378AD">
        <w:rPr>
          <w:rFonts w:ascii="Cambria" w:hAnsi="Cambria"/>
          <w:color w:val="000000" w:themeColor="text1"/>
        </w:rPr>
        <w:t xml:space="preserve"> </w:t>
      </w:r>
    </w:p>
    <w:p w14:paraId="0739BC8A" w14:textId="77777777" w:rsidR="00F5088C" w:rsidRPr="006378AD" w:rsidRDefault="00F5088C" w:rsidP="00F5088C">
      <w:pPr>
        <w:pStyle w:val="ListParagraph"/>
        <w:rPr>
          <w:rFonts w:ascii="Cambria" w:hAnsi="Cambria" w:cs="Times New Roman"/>
          <w:color w:val="000000" w:themeColor="text1"/>
        </w:rPr>
      </w:pPr>
    </w:p>
    <w:p w14:paraId="4D02C19D"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plan or statement of intent related to distribution of additional mill levy override revenue.</w:t>
      </w:r>
      <w:r w:rsidR="001360A5" w:rsidRPr="006378AD">
        <w:rPr>
          <w:rFonts w:ascii="Cambria" w:hAnsi="Cambria"/>
          <w:color w:val="000000" w:themeColor="text1"/>
        </w:rPr>
        <w:t xml:space="preserve"> C.R.S. § 22-32-108.5(9)(</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(b).</w:t>
      </w:r>
      <w:r w:rsidRPr="006378AD">
        <w:rPr>
          <w:rStyle w:val="FootnoteReference"/>
          <w:rFonts w:ascii="Cambria" w:hAnsi="Cambria"/>
          <w:color w:val="000000" w:themeColor="text1"/>
        </w:rPr>
        <w:footnoteReference w:id="5"/>
      </w:r>
      <w:r w:rsidRPr="006378AD">
        <w:rPr>
          <w:rFonts w:ascii="Cambria" w:hAnsi="Cambria"/>
          <w:color w:val="000000" w:themeColor="text1"/>
        </w:rPr>
        <w:t xml:space="preserve"> </w:t>
      </w:r>
    </w:p>
    <w:p w14:paraId="5DEF792A" w14:textId="77777777" w:rsidR="00F5088C" w:rsidRPr="006378AD" w:rsidRDefault="00F5088C" w:rsidP="00F5088C">
      <w:pPr>
        <w:widowControl w:val="0"/>
        <w:autoSpaceDE w:val="0"/>
        <w:autoSpaceDN w:val="0"/>
        <w:adjustRightInd w:val="0"/>
        <w:spacing w:after="0" w:line="240" w:lineRule="auto"/>
        <w:rPr>
          <w:rFonts w:ascii="Cambria" w:hAnsi="Cambria"/>
          <w:color w:val="000000" w:themeColor="text1"/>
        </w:rPr>
      </w:pPr>
    </w:p>
    <w:p w14:paraId="470825C9"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Certain information about the amount of additional mill levy override revenue shared with the district’s charter schools and innovation schools, if applicable.</w:t>
      </w:r>
      <w:r w:rsidR="001360A5" w:rsidRPr="006378AD">
        <w:rPr>
          <w:rFonts w:ascii="Cambria" w:hAnsi="Cambria"/>
          <w:color w:val="000000" w:themeColor="text1"/>
        </w:rPr>
        <w:t xml:space="preserve"> C.R.S. § 22-32-108.5(9)(b). </w:t>
      </w:r>
      <w:r w:rsidRPr="006378AD">
        <w:rPr>
          <w:rStyle w:val="FootnoteReference"/>
          <w:rFonts w:ascii="Cambria" w:hAnsi="Cambria"/>
          <w:color w:val="000000" w:themeColor="text1"/>
        </w:rPr>
        <w:footnoteReference w:id="6"/>
      </w:r>
      <w:r w:rsidRPr="006378AD">
        <w:rPr>
          <w:rFonts w:ascii="Cambria" w:hAnsi="Cambria"/>
          <w:color w:val="000000" w:themeColor="text1"/>
        </w:rPr>
        <w:t xml:space="preserve"> </w:t>
      </w:r>
      <w:r w:rsidR="0049292B" w:rsidRPr="006378AD">
        <w:rPr>
          <w:rFonts w:ascii="Cambria" w:hAnsi="Cambria"/>
          <w:color w:val="000000" w:themeColor="text1"/>
        </w:rPr>
        <w:br/>
      </w:r>
    </w:p>
    <w:p w14:paraId="3F050672"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Collective bargaining agreements, if any.</w:t>
      </w:r>
      <w:r w:rsidR="001360A5" w:rsidRPr="006378AD">
        <w:rPr>
          <w:rFonts w:ascii="Cambria" w:hAnsi="Cambria"/>
          <w:color w:val="000000" w:themeColor="text1"/>
        </w:rPr>
        <w:t xml:space="preserve"> C.R.S. § 22-32-109.4(3)(a). </w:t>
      </w:r>
      <w:r w:rsidRPr="006378AD">
        <w:rPr>
          <w:rStyle w:val="FootnoteReference"/>
          <w:rFonts w:ascii="Cambria" w:hAnsi="Cambria"/>
          <w:color w:val="000000" w:themeColor="text1"/>
        </w:rPr>
        <w:footnoteReference w:id="7"/>
      </w:r>
      <w:r w:rsidRPr="006378AD">
        <w:rPr>
          <w:rFonts w:ascii="Cambria" w:hAnsi="Cambria"/>
          <w:color w:val="000000" w:themeColor="text1"/>
        </w:rPr>
        <w:t xml:space="preserve"> </w:t>
      </w:r>
    </w:p>
    <w:p w14:paraId="1214E9AD" w14:textId="77777777" w:rsidR="00F5088C" w:rsidRPr="006378AD" w:rsidRDefault="00F5088C" w:rsidP="00F5088C">
      <w:pPr>
        <w:pStyle w:val="ListParagraph"/>
        <w:rPr>
          <w:rFonts w:ascii="Cambria" w:hAnsi="Cambria"/>
          <w:color w:val="000000" w:themeColor="text1"/>
        </w:rPr>
      </w:pPr>
    </w:p>
    <w:p w14:paraId="47553F8E"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regarding whether students will use pencil and paper to complete certain state assessments.</w:t>
      </w:r>
      <w:r w:rsidR="001360A5" w:rsidRPr="006378AD">
        <w:rPr>
          <w:rFonts w:ascii="Cambria" w:hAnsi="Cambria"/>
          <w:color w:val="000000" w:themeColor="text1"/>
        </w:rPr>
        <w:t xml:space="preserve"> C.R.S. § 22-7-1013(6). </w:t>
      </w:r>
      <w:r w:rsidRPr="006378AD">
        <w:rPr>
          <w:rStyle w:val="FootnoteReference"/>
          <w:rFonts w:ascii="Cambria" w:hAnsi="Cambria"/>
          <w:color w:val="000000" w:themeColor="text1"/>
        </w:rPr>
        <w:footnoteReference w:id="8"/>
      </w:r>
      <w:r w:rsidRPr="006378AD">
        <w:rPr>
          <w:rFonts w:ascii="Cambria" w:hAnsi="Cambria"/>
          <w:color w:val="000000" w:themeColor="text1"/>
        </w:rPr>
        <w:t xml:space="preserve"> </w:t>
      </w:r>
      <w:r w:rsidR="001360A5" w:rsidRPr="006378AD">
        <w:rPr>
          <w:rFonts w:ascii="Cambria" w:hAnsi="Cambria"/>
          <w:color w:val="000000" w:themeColor="text1"/>
        </w:rPr>
        <w:br/>
      </w:r>
    </w:p>
    <w:p w14:paraId="78B56875"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about state and local assessments, including the district’s student assessment calendar.</w:t>
      </w:r>
      <w:r w:rsidR="001360A5" w:rsidRPr="006378AD">
        <w:rPr>
          <w:rFonts w:ascii="Cambria" w:hAnsi="Cambria"/>
          <w:color w:val="000000" w:themeColor="text1"/>
        </w:rPr>
        <w:t xml:space="preserve"> C.R.S. § 22-7-1013(7)(</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 xml:space="preserve">(b)(II). </w:t>
      </w:r>
      <w:r w:rsidRPr="006378AD">
        <w:rPr>
          <w:rStyle w:val="FootnoteReference"/>
          <w:rFonts w:ascii="Cambria" w:hAnsi="Cambria"/>
          <w:color w:val="000000" w:themeColor="text1"/>
        </w:rPr>
        <w:footnoteReference w:id="9"/>
      </w:r>
      <w:r w:rsidRPr="006378AD">
        <w:rPr>
          <w:rFonts w:ascii="Cambria" w:hAnsi="Cambria"/>
          <w:color w:val="000000" w:themeColor="text1"/>
        </w:rPr>
        <w:t xml:space="preserve"> </w:t>
      </w:r>
    </w:p>
    <w:p w14:paraId="4955851F" w14:textId="77777777" w:rsidR="00F5088C" w:rsidRPr="006378AD" w:rsidRDefault="00F5088C" w:rsidP="00F5088C">
      <w:pPr>
        <w:widowControl w:val="0"/>
        <w:autoSpaceDE w:val="0"/>
        <w:autoSpaceDN w:val="0"/>
        <w:adjustRightInd w:val="0"/>
        <w:spacing w:after="0" w:line="240" w:lineRule="auto"/>
        <w:rPr>
          <w:rFonts w:ascii="Cambria" w:hAnsi="Cambria"/>
          <w:color w:val="000000" w:themeColor="text1"/>
        </w:rPr>
      </w:pPr>
    </w:p>
    <w:p w14:paraId="70E0D6EB"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clearly identified link to the Colorado Department of Education page on which certain literacy curriculum information is posted; must be posted on the district and each school-level website.</w:t>
      </w:r>
      <w:r w:rsidR="001360A5" w:rsidRPr="006378AD">
        <w:rPr>
          <w:rFonts w:ascii="Cambria" w:hAnsi="Cambria"/>
          <w:color w:val="000000" w:themeColor="text1"/>
        </w:rPr>
        <w:t xml:space="preserve"> C.R.S. </w:t>
      </w:r>
      <w:r w:rsidR="001360A5" w:rsidRPr="006378AD">
        <w:rPr>
          <w:rFonts w:ascii="Cambria" w:hAnsi="Cambria"/>
          <w:color w:val="000000" w:themeColor="text1"/>
        </w:rPr>
        <w:lastRenderedPageBreak/>
        <w:t>§ 22-7-1208(8)(b).</w:t>
      </w:r>
    </w:p>
    <w:p w14:paraId="7CA1DB58" w14:textId="77777777" w:rsidR="00F5088C" w:rsidRPr="006378AD" w:rsidRDefault="00F5088C" w:rsidP="00F5088C">
      <w:pPr>
        <w:pStyle w:val="ListParagraph"/>
        <w:rPr>
          <w:rFonts w:ascii="Cambria" w:hAnsi="Cambria"/>
          <w:color w:val="000000" w:themeColor="text1"/>
        </w:rPr>
      </w:pPr>
    </w:p>
    <w:p w14:paraId="6868C769" w14:textId="77777777" w:rsidR="00F5088C" w:rsidRPr="006378AD" w:rsidRDefault="00F5088C" w:rsidP="008152B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If the district has entered into a cooperative agreement to provide concurrent enrollment </w:t>
      </w:r>
      <w:r w:rsidR="008152B5" w:rsidRPr="006378AD">
        <w:rPr>
          <w:rFonts w:ascii="Cambria" w:hAnsi="Cambria"/>
          <w:color w:val="000000" w:themeColor="text1"/>
        </w:rPr>
        <w:t>opportunities</w:t>
      </w:r>
      <w:r w:rsidRPr="006378AD">
        <w:rPr>
          <w:rFonts w:ascii="Cambria" w:hAnsi="Cambria"/>
          <w:color w:val="000000" w:themeColor="text1"/>
        </w:rPr>
        <w:t xml:space="preserve"> to qualified students, a standard concurrent enrollment application form.</w:t>
      </w:r>
      <w:r w:rsidR="001360A5" w:rsidRPr="006378AD">
        <w:rPr>
          <w:rFonts w:ascii="Cambria" w:hAnsi="Cambria"/>
          <w:color w:val="000000" w:themeColor="text1"/>
        </w:rPr>
        <w:t xml:space="preserve"> C.R.S. 22-35-104(2)(c)</w:t>
      </w:r>
    </w:p>
    <w:p w14:paraId="16B6FE82" w14:textId="77777777" w:rsidR="008152B5" w:rsidRPr="006378AD" w:rsidRDefault="008152B5" w:rsidP="008152B5">
      <w:pPr>
        <w:widowControl w:val="0"/>
        <w:autoSpaceDE w:val="0"/>
        <w:autoSpaceDN w:val="0"/>
        <w:adjustRightInd w:val="0"/>
        <w:spacing w:after="0" w:line="240" w:lineRule="auto"/>
        <w:rPr>
          <w:rFonts w:ascii="Cambria" w:hAnsi="Cambria"/>
          <w:color w:val="000000" w:themeColor="text1"/>
        </w:rPr>
      </w:pPr>
    </w:p>
    <w:p w14:paraId="054E8245"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regarding student information privacy and protection.</w:t>
      </w:r>
      <w:r w:rsidR="001360A5" w:rsidRPr="006378AD">
        <w:rPr>
          <w:rFonts w:ascii="Cambria" w:hAnsi="Cambria"/>
          <w:color w:val="000000" w:themeColor="text1"/>
        </w:rPr>
        <w:t xml:space="preserve"> C.R.S. § 22-16-107(4)(c). </w:t>
      </w:r>
      <w:r w:rsidRPr="006378AD">
        <w:rPr>
          <w:rStyle w:val="FootnoteReference"/>
          <w:rFonts w:ascii="Cambria" w:hAnsi="Cambria"/>
          <w:color w:val="000000" w:themeColor="text1"/>
        </w:rPr>
        <w:footnoteReference w:id="10"/>
      </w:r>
      <w:r w:rsidRPr="006378AD">
        <w:rPr>
          <w:rFonts w:ascii="Cambria" w:hAnsi="Cambria"/>
          <w:color w:val="000000" w:themeColor="text1"/>
        </w:rPr>
        <w:t xml:space="preserve"> </w:t>
      </w:r>
    </w:p>
    <w:p w14:paraId="7AABF069" w14:textId="77777777" w:rsidR="00F5088C" w:rsidRPr="006378AD" w:rsidRDefault="00F5088C" w:rsidP="00F5088C">
      <w:pPr>
        <w:pStyle w:val="ListParagraph"/>
        <w:rPr>
          <w:rFonts w:ascii="Cambria" w:hAnsi="Cambria"/>
          <w:color w:val="000000" w:themeColor="text1"/>
        </w:rPr>
      </w:pPr>
    </w:p>
    <w:p w14:paraId="3132D7D1"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explaining the data elements of student personally identifiable information that the district collects and maintains, including an explanation of how the district uses and shares the student personally identifiable information.</w:t>
      </w:r>
      <w:r w:rsidR="001360A5" w:rsidRPr="006378AD">
        <w:rPr>
          <w:rFonts w:ascii="Cambria" w:hAnsi="Cambria"/>
          <w:color w:val="000000" w:themeColor="text1"/>
        </w:rPr>
        <w:t xml:space="preserve"> C.R.S. § 22-16-107(1)(a). </w:t>
      </w:r>
      <w:r w:rsidRPr="006378AD">
        <w:rPr>
          <w:rStyle w:val="FootnoteReference"/>
          <w:rFonts w:ascii="Cambria" w:hAnsi="Cambria"/>
          <w:color w:val="000000" w:themeColor="text1"/>
        </w:rPr>
        <w:footnoteReference w:id="11"/>
      </w:r>
      <w:r w:rsidRPr="006378AD">
        <w:rPr>
          <w:rFonts w:ascii="Cambria" w:hAnsi="Cambria"/>
          <w:color w:val="000000" w:themeColor="text1"/>
        </w:rPr>
        <w:t xml:space="preserve"> </w:t>
      </w:r>
    </w:p>
    <w:p w14:paraId="1B5A5D96" w14:textId="77777777" w:rsidR="00F5088C" w:rsidRPr="006378AD" w:rsidRDefault="00F5088C" w:rsidP="00F5088C">
      <w:pPr>
        <w:pStyle w:val="ListParagraph"/>
        <w:rPr>
          <w:rFonts w:ascii="Cambria" w:hAnsi="Cambria"/>
          <w:color w:val="000000" w:themeColor="text1"/>
        </w:rPr>
      </w:pPr>
    </w:p>
    <w:p w14:paraId="74C4F3AB"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link to the student data inventory and dictionary or index of data elements published by the State Board of Education.</w:t>
      </w:r>
      <w:r w:rsidR="001360A5" w:rsidRPr="006378AD">
        <w:rPr>
          <w:rFonts w:ascii="Cambria" w:hAnsi="Cambria"/>
          <w:color w:val="000000" w:themeColor="text1"/>
        </w:rPr>
        <w:t xml:space="preserve"> C.R.S. § 22-16-107(1)(a).</w:t>
      </w:r>
    </w:p>
    <w:p w14:paraId="42C4DF75" w14:textId="77777777" w:rsidR="00F5088C" w:rsidRPr="006378AD" w:rsidRDefault="00F5088C" w:rsidP="00F5088C">
      <w:pPr>
        <w:pStyle w:val="ListParagraph"/>
        <w:rPr>
          <w:rFonts w:ascii="Cambria" w:hAnsi="Cambria"/>
          <w:color w:val="000000" w:themeColor="text1"/>
        </w:rPr>
      </w:pPr>
    </w:p>
    <w:p w14:paraId="15BD5A68"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provided by a school service contract provider to the district or school concerning student personally identifiable information collected and how the provider uses and shares the data.</w:t>
      </w:r>
      <w:r w:rsidR="001360A5" w:rsidRPr="006378AD">
        <w:rPr>
          <w:rFonts w:ascii="Cambria" w:hAnsi="Cambria"/>
          <w:color w:val="000000" w:themeColor="text1"/>
        </w:rPr>
        <w:t xml:space="preserve"> C.R.S. § 22-16-108(1).</w:t>
      </w:r>
      <w:r w:rsidRPr="006378AD">
        <w:rPr>
          <w:rStyle w:val="FootnoteReference"/>
          <w:rFonts w:ascii="Cambria" w:hAnsi="Cambria"/>
          <w:color w:val="000000" w:themeColor="text1"/>
        </w:rPr>
        <w:footnoteReference w:id="12"/>
      </w:r>
      <w:r w:rsidRPr="006378AD">
        <w:rPr>
          <w:rFonts w:ascii="Cambria" w:hAnsi="Cambria"/>
          <w:color w:val="000000" w:themeColor="text1"/>
        </w:rPr>
        <w:t xml:space="preserve"> </w:t>
      </w:r>
    </w:p>
    <w:p w14:paraId="2BDAB2EF" w14:textId="77777777" w:rsidR="00F5088C" w:rsidRPr="006378AD" w:rsidRDefault="00F5088C" w:rsidP="00F5088C">
      <w:pPr>
        <w:pStyle w:val="ListParagraph"/>
        <w:rPr>
          <w:rFonts w:ascii="Cambria" w:hAnsi="Cambria"/>
          <w:color w:val="000000" w:themeColor="text1"/>
        </w:rPr>
      </w:pPr>
    </w:p>
    <w:p w14:paraId="000F38B8"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school service contract providers with which the district contracts and a copy of each contract, updated at the beginning and mid-point of each year.</w:t>
      </w:r>
      <w:r w:rsidR="001360A5" w:rsidRPr="006378AD">
        <w:rPr>
          <w:rFonts w:ascii="Cambria" w:hAnsi="Cambria"/>
          <w:color w:val="000000" w:themeColor="text1"/>
        </w:rPr>
        <w:t xml:space="preserve"> C.R.S. § 22-16-107(1)(b). </w:t>
      </w:r>
      <w:r w:rsidRPr="006378AD">
        <w:rPr>
          <w:rStyle w:val="FootnoteReference"/>
          <w:rFonts w:ascii="Cambria" w:hAnsi="Cambria"/>
          <w:color w:val="000000" w:themeColor="text1"/>
        </w:rPr>
        <w:footnoteReference w:id="13"/>
      </w:r>
      <w:r w:rsidRPr="006378AD">
        <w:rPr>
          <w:rFonts w:ascii="Cambria" w:hAnsi="Cambria"/>
          <w:color w:val="000000" w:themeColor="text1"/>
        </w:rPr>
        <w:t xml:space="preserve"> </w:t>
      </w:r>
    </w:p>
    <w:p w14:paraId="039D3F23" w14:textId="77777777" w:rsidR="00F5088C" w:rsidRPr="006378AD" w:rsidRDefault="00F5088C" w:rsidP="00F5088C">
      <w:pPr>
        <w:pStyle w:val="ListParagraph"/>
        <w:rPr>
          <w:rFonts w:ascii="Cambria" w:hAnsi="Cambria"/>
          <w:color w:val="000000" w:themeColor="text1"/>
        </w:rPr>
      </w:pPr>
    </w:p>
    <w:p w14:paraId="428BE4ED"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school service on-demand providers that the district or a district employee uses for school services.</w:t>
      </w:r>
      <w:r w:rsidR="001360A5" w:rsidRPr="006378AD">
        <w:rPr>
          <w:rFonts w:ascii="Cambria" w:hAnsi="Cambria"/>
          <w:color w:val="000000" w:themeColor="text1"/>
        </w:rPr>
        <w:t xml:space="preserve"> C.R.S. § 22-16-107(3)(a).</w:t>
      </w:r>
      <w:r w:rsidRPr="006378AD">
        <w:rPr>
          <w:rStyle w:val="FootnoteReference"/>
          <w:rFonts w:ascii="Cambria" w:hAnsi="Cambria"/>
          <w:color w:val="000000" w:themeColor="text1"/>
        </w:rPr>
        <w:footnoteReference w:id="14"/>
      </w:r>
      <w:r w:rsidRPr="006378AD">
        <w:rPr>
          <w:rFonts w:ascii="Cambria" w:hAnsi="Cambria"/>
          <w:color w:val="000000" w:themeColor="text1"/>
        </w:rPr>
        <w:t xml:space="preserve"> </w:t>
      </w:r>
    </w:p>
    <w:p w14:paraId="4C55FA63" w14:textId="77777777" w:rsidR="00F5088C" w:rsidRPr="006378AD" w:rsidRDefault="00F5088C" w:rsidP="00F5088C">
      <w:pPr>
        <w:pStyle w:val="ListParagraph"/>
        <w:rPr>
          <w:rFonts w:ascii="Cambria" w:hAnsi="Cambria"/>
          <w:color w:val="000000" w:themeColor="text1"/>
        </w:rPr>
      </w:pPr>
    </w:p>
    <w:p w14:paraId="19737824" w14:textId="77777777"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to on-demand school service providers that, if the district ceases using or refuses to use an on-demand provider due to noncompliance with the Student Data Transparency and Security Act or with the provider’s privacy policy, the district will post on its website the name of the providers not used (with any written response the provider may submit) and will notify the Colorado Department of Education (CDE).</w:t>
      </w:r>
      <w:r w:rsidR="001360A5" w:rsidRPr="006378AD">
        <w:rPr>
          <w:rFonts w:ascii="Cambria" w:hAnsi="Cambria"/>
          <w:color w:val="000000" w:themeColor="text1"/>
        </w:rPr>
        <w:t xml:space="preserve"> C.R.S. § 22-16-107(3)(d). </w:t>
      </w:r>
      <w:r w:rsidRPr="006378AD">
        <w:rPr>
          <w:rStyle w:val="FootnoteReference"/>
          <w:rFonts w:ascii="Cambria" w:hAnsi="Cambria"/>
          <w:color w:val="000000" w:themeColor="text1"/>
        </w:rPr>
        <w:footnoteReference w:id="15"/>
      </w:r>
      <w:r w:rsidRPr="006378AD">
        <w:rPr>
          <w:rFonts w:ascii="Cambria" w:hAnsi="Cambria"/>
          <w:color w:val="000000" w:themeColor="text1"/>
        </w:rPr>
        <w:t xml:space="preserve"> </w:t>
      </w:r>
    </w:p>
    <w:p w14:paraId="659131B8" w14:textId="77777777" w:rsidR="001360A5" w:rsidRPr="006378AD" w:rsidRDefault="001360A5" w:rsidP="001360A5">
      <w:pPr>
        <w:pStyle w:val="ListParagraph"/>
        <w:rPr>
          <w:rFonts w:ascii="Cambria" w:hAnsi="Cambria"/>
          <w:color w:val="000000" w:themeColor="text1"/>
        </w:rPr>
      </w:pPr>
    </w:p>
    <w:p w14:paraId="0E2D4A78" w14:textId="77777777" w:rsidR="00F5088C"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on-demand school service providers not used by the district.</w:t>
      </w:r>
      <w:r w:rsidR="001360A5" w:rsidRPr="006378AD">
        <w:rPr>
          <w:rFonts w:ascii="Cambria" w:hAnsi="Cambria"/>
          <w:color w:val="000000" w:themeColor="text1"/>
        </w:rPr>
        <w:t xml:space="preserve">  C.R.S. § 22-16-107(3)(d).</w:t>
      </w:r>
    </w:p>
    <w:p w14:paraId="7A8EA346" w14:textId="77777777" w:rsidR="00F5088C" w:rsidRPr="006378AD" w:rsidRDefault="00F5088C" w:rsidP="00F5088C">
      <w:pPr>
        <w:pStyle w:val="ListParagraph"/>
        <w:rPr>
          <w:rFonts w:ascii="Cambria" w:hAnsi="Cambria"/>
          <w:color w:val="000000" w:themeColor="text1"/>
        </w:rPr>
      </w:pPr>
    </w:p>
    <w:p w14:paraId="4D1AB1C9"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An explanation of services and resources available for justice-engaged students.</w:t>
      </w:r>
      <w:r w:rsidR="001360A5" w:rsidRPr="006378AD">
        <w:rPr>
          <w:rFonts w:ascii="Cambria" w:hAnsi="Cambria"/>
          <w:color w:val="000000" w:themeColor="text1"/>
        </w:rPr>
        <w:t xml:space="preserve"> C.R.S. § 22-108-104. </w:t>
      </w:r>
      <w:r w:rsidRPr="006378AD">
        <w:rPr>
          <w:rStyle w:val="FootnoteReference"/>
          <w:rFonts w:ascii="Cambria" w:hAnsi="Cambria"/>
          <w:color w:val="000000" w:themeColor="text1"/>
        </w:rPr>
        <w:footnoteReference w:id="16"/>
      </w:r>
    </w:p>
    <w:p w14:paraId="27952219" w14:textId="77777777" w:rsidR="00F5088C" w:rsidRPr="006378AD" w:rsidRDefault="00F5088C" w:rsidP="00F5088C">
      <w:pPr>
        <w:pStyle w:val="ListParagraph"/>
        <w:rPr>
          <w:rFonts w:ascii="Cambria" w:hAnsi="Cambria"/>
          <w:color w:val="000000" w:themeColor="text1"/>
        </w:rPr>
      </w:pPr>
    </w:p>
    <w:p w14:paraId="1F49D4F4"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For school-based websites, a written policy concerning protecting students from harassment or discrimination.</w:t>
      </w:r>
      <w:r w:rsidR="001360A5" w:rsidRPr="006378AD">
        <w:rPr>
          <w:rFonts w:ascii="Cambria" w:hAnsi="Cambria"/>
          <w:color w:val="000000" w:themeColor="text1"/>
        </w:rPr>
        <w:t xml:space="preserve"> C.R.S. § 22-1-143. </w:t>
      </w:r>
      <w:r w:rsidRPr="006378AD">
        <w:rPr>
          <w:rStyle w:val="FootnoteReference"/>
          <w:rFonts w:ascii="Cambria" w:hAnsi="Cambria"/>
          <w:color w:val="000000" w:themeColor="text1"/>
        </w:rPr>
        <w:footnoteReference w:id="17"/>
      </w:r>
      <w:r w:rsidRPr="006378AD">
        <w:rPr>
          <w:rFonts w:ascii="Cambria" w:hAnsi="Cambria"/>
          <w:color w:val="000000" w:themeColor="text1"/>
        </w:rPr>
        <w:t xml:space="preserve"> </w:t>
      </w:r>
    </w:p>
    <w:p w14:paraId="0B4B0FE9" w14:textId="77777777" w:rsidR="00F5088C" w:rsidRPr="006378AD" w:rsidRDefault="00F5088C" w:rsidP="00F5088C">
      <w:pPr>
        <w:pStyle w:val="ListParagraph"/>
        <w:rPr>
          <w:rFonts w:ascii="Cambria" w:hAnsi="Cambria"/>
          <w:color w:val="000000" w:themeColor="text1"/>
        </w:rPr>
      </w:pPr>
    </w:p>
    <w:p w14:paraId="59AE092D"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For administrative units, a policy that addresses the process for requesting and providing medically </w:t>
      </w:r>
      <w:r w:rsidRPr="006378AD">
        <w:rPr>
          <w:rFonts w:ascii="Cambria" w:hAnsi="Cambria"/>
          <w:color w:val="000000" w:themeColor="text1"/>
        </w:rPr>
        <w:lastRenderedPageBreak/>
        <w:t>necessary treatment in a school setting.</w:t>
      </w:r>
      <w:r w:rsidR="001360A5" w:rsidRPr="006378AD">
        <w:rPr>
          <w:rFonts w:ascii="Cambria" w:hAnsi="Cambria"/>
          <w:color w:val="000000" w:themeColor="text1"/>
        </w:rPr>
        <w:t xml:space="preserve"> C.R.S. § 22-20-121(3). </w:t>
      </w:r>
      <w:r w:rsidRPr="006378AD">
        <w:rPr>
          <w:rStyle w:val="FootnoteReference"/>
          <w:rFonts w:ascii="Cambria" w:hAnsi="Cambria"/>
          <w:color w:val="000000" w:themeColor="text1"/>
        </w:rPr>
        <w:footnoteReference w:id="18"/>
      </w:r>
    </w:p>
    <w:p w14:paraId="7A1D08CD" w14:textId="77777777" w:rsidR="00F5088C" w:rsidRPr="006378AD" w:rsidRDefault="00F5088C" w:rsidP="00F5088C">
      <w:pPr>
        <w:pStyle w:val="ListParagraph"/>
        <w:rPr>
          <w:rFonts w:ascii="Cambria" w:hAnsi="Cambria"/>
          <w:color w:val="000000" w:themeColor="text1"/>
        </w:rPr>
      </w:pPr>
    </w:p>
    <w:p w14:paraId="46E793B6"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suspending a policy regarding administration of medical marijuana to students, or prohibiting administration of medical marijuana to students, only if district federal funding is in jeopardy.</w:t>
      </w:r>
      <w:r w:rsidR="001360A5" w:rsidRPr="006378AD">
        <w:rPr>
          <w:rFonts w:ascii="Cambria" w:hAnsi="Cambria"/>
          <w:color w:val="000000" w:themeColor="text1"/>
        </w:rPr>
        <w:t xml:space="preserve"> C.R.S. § 22-1-119.3(3)(d)(IV).</w:t>
      </w:r>
      <w:r w:rsidRPr="006378AD">
        <w:rPr>
          <w:rStyle w:val="FootnoteReference"/>
          <w:rFonts w:ascii="Cambria" w:hAnsi="Cambria"/>
          <w:color w:val="000000" w:themeColor="text1"/>
        </w:rPr>
        <w:footnoteReference w:id="19"/>
      </w:r>
    </w:p>
    <w:p w14:paraId="3FCEDE9F" w14:textId="77777777" w:rsidR="00F5088C" w:rsidRPr="006378AD" w:rsidRDefault="00F5088C" w:rsidP="00F5088C">
      <w:pPr>
        <w:pStyle w:val="ListParagraph"/>
        <w:rPr>
          <w:rFonts w:ascii="Cambria" w:hAnsi="Cambria"/>
          <w:color w:val="000000" w:themeColor="text1"/>
        </w:rPr>
      </w:pPr>
    </w:p>
    <w:p w14:paraId="7E3F53E6" w14:textId="77777777"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plan for the management of students with life-threatening allergies, only if the district or school maintains a supply of epinephrine auto-injectors.</w:t>
      </w:r>
      <w:r w:rsidR="001360A5" w:rsidRPr="006378AD">
        <w:rPr>
          <w:rFonts w:ascii="Cambria" w:hAnsi="Cambria"/>
          <w:color w:val="000000" w:themeColor="text1"/>
        </w:rPr>
        <w:t xml:space="preserve"> C.R.S. § 22-1-119.5(</w:t>
      </w:r>
      <w:proofErr w:type="gramStart"/>
      <w:r w:rsidR="001360A5" w:rsidRPr="006378AD">
        <w:rPr>
          <w:rFonts w:ascii="Cambria" w:hAnsi="Cambria"/>
          <w:color w:val="000000" w:themeColor="text1"/>
        </w:rPr>
        <w:t>5.5)(</w:t>
      </w:r>
      <w:proofErr w:type="gramEnd"/>
      <w:r w:rsidR="001360A5" w:rsidRPr="006378AD">
        <w:rPr>
          <w:rFonts w:ascii="Cambria" w:hAnsi="Cambria"/>
          <w:color w:val="000000" w:themeColor="text1"/>
        </w:rPr>
        <w:t xml:space="preserve">e). </w:t>
      </w:r>
      <w:r w:rsidRPr="006378AD">
        <w:rPr>
          <w:rStyle w:val="FootnoteReference"/>
          <w:rFonts w:ascii="Cambria" w:hAnsi="Cambria"/>
          <w:color w:val="000000" w:themeColor="text1"/>
        </w:rPr>
        <w:footnoteReference w:id="20"/>
      </w:r>
      <w:r w:rsidRPr="006378AD">
        <w:rPr>
          <w:rFonts w:ascii="Cambria" w:hAnsi="Cambria"/>
          <w:color w:val="000000" w:themeColor="text1"/>
        </w:rPr>
        <w:t xml:space="preserve"> </w:t>
      </w:r>
    </w:p>
    <w:p w14:paraId="51458A5A" w14:textId="77777777" w:rsidR="001360A5" w:rsidRPr="006378AD" w:rsidRDefault="001360A5" w:rsidP="001360A5">
      <w:pPr>
        <w:pStyle w:val="ListParagraph"/>
        <w:rPr>
          <w:rFonts w:ascii="Cambria" w:hAnsi="Cambria"/>
          <w:color w:val="000000" w:themeColor="text1"/>
        </w:rPr>
      </w:pPr>
    </w:p>
    <w:p w14:paraId="73D96E6B" w14:textId="77777777"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that a list of underused and vacant buildings and land is available to interested persons upon request, only if the district authorizes a charter school and has or expects to have one or more vacant or underused buildings or vacant or underused land available during the next school year.</w:t>
      </w:r>
      <w:r w:rsidR="001360A5" w:rsidRPr="006378AD">
        <w:rPr>
          <w:rFonts w:ascii="Cambria" w:hAnsi="Cambria"/>
          <w:color w:val="000000" w:themeColor="text1"/>
        </w:rPr>
        <w:t xml:space="preserve"> C.R.S. § 22-30.5-104(</w:t>
      </w:r>
      <w:proofErr w:type="gramStart"/>
      <w:r w:rsidR="001360A5" w:rsidRPr="006378AD">
        <w:rPr>
          <w:rFonts w:ascii="Cambria" w:hAnsi="Cambria"/>
          <w:color w:val="000000" w:themeColor="text1"/>
        </w:rPr>
        <w:t>7.5)(</w:t>
      </w:r>
      <w:proofErr w:type="gramEnd"/>
      <w:r w:rsidR="001360A5" w:rsidRPr="006378AD">
        <w:rPr>
          <w:rFonts w:ascii="Cambria" w:hAnsi="Cambria"/>
          <w:color w:val="000000" w:themeColor="text1"/>
        </w:rPr>
        <w:t>a).</w:t>
      </w:r>
    </w:p>
    <w:p w14:paraId="776DE2E6" w14:textId="77777777" w:rsidR="00F5088C" w:rsidRPr="006378AD" w:rsidRDefault="00F5088C" w:rsidP="001360A5">
      <w:pPr>
        <w:pStyle w:val="ListParagraph"/>
        <w:widowControl w:val="0"/>
        <w:autoSpaceDE w:val="0"/>
        <w:autoSpaceDN w:val="0"/>
        <w:adjustRightInd w:val="0"/>
        <w:spacing w:after="0" w:line="240" w:lineRule="auto"/>
        <w:rPr>
          <w:rFonts w:ascii="Cambria" w:hAnsi="Cambria"/>
          <w:color w:val="000000" w:themeColor="text1"/>
        </w:rPr>
      </w:pPr>
    </w:p>
    <w:p w14:paraId="4DA67E46"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any waiver of charter school application timelines.</w:t>
      </w:r>
      <w:r w:rsidR="001360A5" w:rsidRPr="006378AD">
        <w:rPr>
          <w:rFonts w:ascii="Cambria" w:hAnsi="Cambria"/>
          <w:color w:val="000000" w:themeColor="text1"/>
        </w:rPr>
        <w:t xml:space="preserve"> C.R.S. 22-30.5-107(2.5) </w:t>
      </w:r>
    </w:p>
    <w:p w14:paraId="074732DA" w14:textId="77777777" w:rsidR="008152B5" w:rsidRPr="006378AD" w:rsidRDefault="008152B5" w:rsidP="008152B5">
      <w:pPr>
        <w:pStyle w:val="ListParagraph"/>
        <w:rPr>
          <w:rFonts w:ascii="Cambria" w:hAnsi="Cambria"/>
          <w:color w:val="000000" w:themeColor="text1"/>
        </w:rPr>
      </w:pPr>
    </w:p>
    <w:p w14:paraId="51768C7E" w14:textId="77777777" w:rsidR="008152B5" w:rsidRPr="000D3D65" w:rsidRDefault="008152B5" w:rsidP="00F5088C">
      <w:pPr>
        <w:pStyle w:val="ListParagraph"/>
        <w:widowControl w:val="0"/>
        <w:numPr>
          <w:ilvl w:val="0"/>
          <w:numId w:val="1"/>
        </w:numPr>
        <w:autoSpaceDE w:val="0"/>
        <w:autoSpaceDN w:val="0"/>
        <w:adjustRightInd w:val="0"/>
        <w:spacing w:after="0" w:line="240" w:lineRule="auto"/>
        <w:rPr>
          <w:rStyle w:val="Emphasis"/>
          <w:rFonts w:ascii="Cambria" w:hAnsi="Cambria"/>
          <w:color w:val="000000" w:themeColor="text1"/>
        </w:rPr>
      </w:pPr>
      <w:r w:rsidRPr="006378AD">
        <w:rPr>
          <w:rStyle w:val="Emphasis"/>
          <w:rFonts w:ascii="Cambria" w:hAnsi="Cambria" w:cs="Open Sans"/>
          <w:i w:val="0"/>
          <w:iCs w:val="0"/>
          <w:color w:val="000000" w:themeColor="text1"/>
          <w:bdr w:val="none" w:sz="0" w:space="0" w:color="auto" w:frame="1"/>
        </w:rPr>
        <w:t>Accessibility statement regarding access to all district information and communication technology, requests for accommodations, and a commitment to a timely response to inaccessible information and communication technology.</w:t>
      </w:r>
      <w:r w:rsidR="001360A5" w:rsidRPr="006378AD">
        <w:rPr>
          <w:rStyle w:val="Emphasis"/>
          <w:rFonts w:ascii="Cambria" w:hAnsi="Cambria" w:cs="Open Sans"/>
          <w:i w:val="0"/>
          <w:iCs w:val="0"/>
          <w:color w:val="000000" w:themeColor="text1"/>
          <w:bdr w:val="none" w:sz="0" w:space="0" w:color="auto" w:frame="1"/>
        </w:rPr>
        <w:t xml:space="preserve"> </w:t>
      </w:r>
      <w:r w:rsidR="001360A5" w:rsidRPr="000D3D65">
        <w:rPr>
          <w:rStyle w:val="Emphasis"/>
          <w:rFonts w:ascii="Cambria" w:hAnsi="Cambria" w:cs="Open Sans"/>
          <w:i w:val="0"/>
          <w:iCs w:val="0"/>
          <w:color w:val="000000" w:themeColor="text1"/>
          <w:bdr w:val="none" w:sz="0" w:space="0" w:color="auto" w:frame="1"/>
        </w:rPr>
        <w:t>8 CCR 1501-11.6.</w:t>
      </w:r>
      <w:r w:rsidRPr="006378AD">
        <w:rPr>
          <w:rStyle w:val="FootnoteReference"/>
          <w:rFonts w:ascii="Cambria" w:hAnsi="Cambria" w:cs="Open Sans"/>
          <w:i/>
          <w:iCs/>
          <w:color w:val="000000" w:themeColor="text1"/>
          <w:bdr w:val="none" w:sz="0" w:space="0" w:color="auto" w:frame="1"/>
        </w:rPr>
        <w:footnoteReference w:id="21"/>
      </w:r>
    </w:p>
    <w:p w14:paraId="1B27F059" w14:textId="77777777" w:rsidR="000D3D65" w:rsidRPr="000D3D65" w:rsidRDefault="000D3D65" w:rsidP="000D3D65">
      <w:pPr>
        <w:pStyle w:val="ListParagraph"/>
        <w:rPr>
          <w:rFonts w:ascii="Cambria" w:hAnsi="Cambria"/>
          <w:i/>
          <w:iCs/>
          <w:color w:val="000000" w:themeColor="text1"/>
        </w:rPr>
      </w:pPr>
    </w:p>
    <w:p w14:paraId="663C414C" w14:textId="77777777" w:rsidR="008152B5" w:rsidRPr="00321D13" w:rsidRDefault="000D3D65" w:rsidP="009D7419">
      <w:pPr>
        <w:pStyle w:val="ListParagraph"/>
        <w:widowControl w:val="0"/>
        <w:numPr>
          <w:ilvl w:val="0"/>
          <w:numId w:val="1"/>
        </w:numPr>
        <w:autoSpaceDE w:val="0"/>
        <w:autoSpaceDN w:val="0"/>
        <w:adjustRightInd w:val="0"/>
        <w:spacing w:after="0" w:line="240" w:lineRule="auto"/>
        <w:rPr>
          <w:rFonts w:ascii="Cambria" w:hAnsi="Cambria"/>
          <w:i/>
          <w:iCs/>
          <w:color w:val="000000" w:themeColor="text1"/>
        </w:rPr>
      </w:pPr>
      <w:r>
        <w:rPr>
          <w:rFonts w:ascii="Cambria" w:hAnsi="Cambria"/>
          <w:color w:val="000000" w:themeColor="text1"/>
        </w:rPr>
        <w:t xml:space="preserve">Catalog of courses offered to secondary students that use alternative teacher-pupil instruction that the district would like included as instructional time. 1 CCR 301-39. </w:t>
      </w:r>
    </w:p>
    <w:p w14:paraId="61BF5728" w14:textId="77777777" w:rsidR="00321D13" w:rsidRPr="00321D13" w:rsidRDefault="00321D13" w:rsidP="00321D13">
      <w:pPr>
        <w:pStyle w:val="ListParagraph"/>
        <w:rPr>
          <w:rFonts w:ascii="Cambria" w:hAnsi="Cambria"/>
          <w:i/>
          <w:iCs/>
          <w:color w:val="000000" w:themeColor="text1"/>
        </w:rPr>
      </w:pPr>
    </w:p>
    <w:p w14:paraId="761A15B2" w14:textId="2CD9CD31" w:rsidR="00321D13" w:rsidRPr="002C261A" w:rsidRDefault="00006AEC" w:rsidP="009D7419">
      <w:pPr>
        <w:pStyle w:val="ListParagraph"/>
        <w:widowControl w:val="0"/>
        <w:numPr>
          <w:ilvl w:val="0"/>
          <w:numId w:val="1"/>
        </w:numPr>
        <w:autoSpaceDE w:val="0"/>
        <w:autoSpaceDN w:val="0"/>
        <w:adjustRightInd w:val="0"/>
        <w:spacing w:after="0" w:line="240" w:lineRule="auto"/>
        <w:rPr>
          <w:rFonts w:ascii="Cambria" w:hAnsi="Cambria"/>
          <w:i/>
          <w:iCs/>
          <w:color w:val="000000" w:themeColor="text1"/>
        </w:rPr>
      </w:pPr>
      <w:r>
        <w:rPr>
          <w:rFonts w:ascii="Cambria" w:hAnsi="Cambria"/>
          <w:color w:val="000000" w:themeColor="text1"/>
        </w:rPr>
        <w:t xml:space="preserve">Reconsideration policies for reconsideration of library resources must be available to the public “in a manner to be determined by the local education provider,” which </w:t>
      </w:r>
      <w:r w:rsidR="002C261A">
        <w:rPr>
          <w:rFonts w:ascii="Cambria" w:hAnsi="Cambria"/>
          <w:color w:val="000000" w:themeColor="text1"/>
        </w:rPr>
        <w:t xml:space="preserve">include on the website if the district desires. C.R.S. 22-1-148(4)(d). </w:t>
      </w:r>
    </w:p>
    <w:p w14:paraId="34D66189" w14:textId="77777777" w:rsidR="002C261A" w:rsidRPr="002C261A" w:rsidRDefault="002C261A" w:rsidP="002C261A">
      <w:pPr>
        <w:pStyle w:val="ListParagraph"/>
        <w:rPr>
          <w:rFonts w:ascii="Cambria" w:hAnsi="Cambria"/>
          <w:i/>
          <w:iCs/>
          <w:color w:val="000000" w:themeColor="text1"/>
        </w:rPr>
      </w:pPr>
    </w:p>
    <w:p w14:paraId="63A10F57" w14:textId="4ED086D8" w:rsidR="002C261A" w:rsidRPr="009D7419" w:rsidRDefault="006102C0" w:rsidP="009D7419">
      <w:pPr>
        <w:pStyle w:val="ListParagraph"/>
        <w:widowControl w:val="0"/>
        <w:numPr>
          <w:ilvl w:val="0"/>
          <w:numId w:val="1"/>
        </w:numPr>
        <w:autoSpaceDE w:val="0"/>
        <w:autoSpaceDN w:val="0"/>
        <w:adjustRightInd w:val="0"/>
        <w:spacing w:after="0" w:line="240" w:lineRule="auto"/>
        <w:rPr>
          <w:rFonts w:ascii="Cambria" w:hAnsi="Cambria"/>
          <w:i/>
          <w:iCs/>
          <w:color w:val="000000" w:themeColor="text1"/>
        </w:rPr>
      </w:pPr>
      <w:r>
        <w:rPr>
          <w:rFonts w:ascii="Cambria" w:hAnsi="Cambria"/>
          <w:color w:val="000000" w:themeColor="text1"/>
        </w:rPr>
        <w:t>Policy for student possession and use of communication devices (on or before July 1, 2026).</w:t>
      </w:r>
      <w:r w:rsidR="00214595">
        <w:rPr>
          <w:rFonts w:ascii="Cambria" w:hAnsi="Cambria"/>
          <w:color w:val="000000" w:themeColor="text1"/>
        </w:rPr>
        <w:t xml:space="preserve"> C.R.S. 22-1-149(5). </w:t>
      </w:r>
    </w:p>
    <w:p w14:paraId="30A1FEF1" w14:textId="77777777" w:rsidR="008152B5" w:rsidRPr="006378AD" w:rsidRDefault="008152B5" w:rsidP="00641885">
      <w:pPr>
        <w:pStyle w:val="Heading2"/>
      </w:pPr>
      <w:r w:rsidRPr="006378AD">
        <w:t>Federal Requirements</w:t>
      </w:r>
    </w:p>
    <w:p w14:paraId="51BE2077" w14:textId="77777777" w:rsidR="008152B5" w:rsidRPr="006378AD" w:rsidRDefault="008152B5" w:rsidP="008152B5">
      <w:pPr>
        <w:widowControl w:val="0"/>
        <w:autoSpaceDE w:val="0"/>
        <w:autoSpaceDN w:val="0"/>
        <w:adjustRightInd w:val="0"/>
        <w:spacing w:after="0" w:line="240" w:lineRule="auto"/>
        <w:rPr>
          <w:rFonts w:ascii="Cambria" w:hAnsi="Cambria"/>
          <w:color w:val="000000" w:themeColor="text1"/>
        </w:rPr>
      </w:pPr>
    </w:p>
    <w:p w14:paraId="05F068EC" w14:textId="77777777" w:rsidR="008152B5" w:rsidRPr="006378AD" w:rsidRDefault="008152B5" w:rsidP="008152B5">
      <w:pPr>
        <w:pStyle w:val="ListParagraph"/>
        <w:numPr>
          <w:ilvl w:val="0"/>
          <w:numId w:val="10"/>
        </w:numPr>
        <w:rPr>
          <w:rFonts w:ascii="Cambria" w:hAnsi="Cambria" w:cs="Times New Roman"/>
          <w:color w:val="000000" w:themeColor="text1"/>
        </w:rPr>
      </w:pPr>
      <w:r w:rsidRPr="006378AD">
        <w:rPr>
          <w:rFonts w:ascii="Cambria" w:hAnsi="Cambria" w:cs="Times New Roman"/>
          <w:color w:val="000000" w:themeColor="text1"/>
        </w:rPr>
        <w:t xml:space="preserve">Title IX </w:t>
      </w:r>
      <w:r w:rsidR="0088107D">
        <w:rPr>
          <w:rFonts w:ascii="Cambria" w:hAnsi="Cambria" w:cs="Times New Roman"/>
          <w:color w:val="000000" w:themeColor="text1"/>
        </w:rPr>
        <w:t xml:space="preserve">Policy and Title IX </w:t>
      </w:r>
      <w:r w:rsidRPr="006378AD">
        <w:rPr>
          <w:rFonts w:ascii="Cambria" w:hAnsi="Cambria" w:cs="Times New Roman"/>
          <w:color w:val="000000" w:themeColor="text1"/>
        </w:rPr>
        <w:t>Coordinator contact information and Title IX training materials must be prominently displayed.</w:t>
      </w:r>
      <w:r w:rsidR="001B2E8F">
        <w:rPr>
          <w:rFonts w:ascii="Cambria" w:hAnsi="Cambria" w:cs="Times New Roman"/>
          <w:color w:val="000000" w:themeColor="text1"/>
        </w:rPr>
        <w:t xml:space="preserve"> 34 C.F.R. § 106.8(</w:t>
      </w:r>
      <w:r w:rsidR="0088107D">
        <w:rPr>
          <w:rFonts w:ascii="Cambria" w:hAnsi="Cambria" w:cs="Times New Roman"/>
          <w:color w:val="000000" w:themeColor="text1"/>
        </w:rPr>
        <w:t>b</w:t>
      </w:r>
      <w:r w:rsidR="001B2E8F">
        <w:rPr>
          <w:rFonts w:ascii="Cambria" w:hAnsi="Cambria" w:cs="Times New Roman"/>
          <w:color w:val="000000" w:themeColor="text1"/>
        </w:rPr>
        <w:t>)</w:t>
      </w:r>
      <w:r w:rsidR="0088107D">
        <w:rPr>
          <w:rFonts w:ascii="Cambria" w:hAnsi="Cambria" w:cs="Times New Roman"/>
          <w:color w:val="000000" w:themeColor="text1"/>
        </w:rPr>
        <w:t>(2)</w:t>
      </w:r>
      <w:r w:rsidR="001B2E8F">
        <w:rPr>
          <w:rFonts w:ascii="Cambria" w:hAnsi="Cambria" w:cs="Times New Roman"/>
          <w:color w:val="000000" w:themeColor="text1"/>
        </w:rPr>
        <w:t xml:space="preserve"> and 34 C.F.R. § 106.45(b)(10)(</w:t>
      </w:r>
      <w:proofErr w:type="spellStart"/>
      <w:r w:rsidR="001B2E8F">
        <w:rPr>
          <w:rFonts w:ascii="Cambria" w:hAnsi="Cambria" w:cs="Times New Roman"/>
          <w:color w:val="000000" w:themeColor="text1"/>
        </w:rPr>
        <w:t>i</w:t>
      </w:r>
      <w:proofErr w:type="spellEnd"/>
      <w:r w:rsidR="001B2E8F">
        <w:rPr>
          <w:rFonts w:ascii="Cambria" w:hAnsi="Cambria" w:cs="Times New Roman"/>
          <w:color w:val="000000" w:themeColor="text1"/>
        </w:rPr>
        <w:t>).</w:t>
      </w:r>
      <w:r w:rsidR="001B2E8F">
        <w:rPr>
          <w:rStyle w:val="FootnoteReference"/>
          <w:rFonts w:ascii="Cambria" w:hAnsi="Cambria" w:cs="Times New Roman"/>
          <w:color w:val="000000" w:themeColor="text1"/>
        </w:rPr>
        <w:footnoteReference w:id="22"/>
      </w:r>
      <w:r w:rsidR="001B2E8F">
        <w:rPr>
          <w:rFonts w:ascii="Cambria" w:hAnsi="Cambria" w:cs="Times New Roman"/>
          <w:color w:val="000000" w:themeColor="text1"/>
        </w:rPr>
        <w:t xml:space="preserve"> </w:t>
      </w:r>
    </w:p>
    <w:p w14:paraId="5F35A049" w14:textId="77777777" w:rsidR="008152B5" w:rsidRPr="006378AD" w:rsidRDefault="008152B5" w:rsidP="008152B5">
      <w:pPr>
        <w:pStyle w:val="ListParagraph"/>
        <w:widowControl w:val="0"/>
        <w:autoSpaceDE w:val="0"/>
        <w:autoSpaceDN w:val="0"/>
        <w:adjustRightInd w:val="0"/>
        <w:spacing w:after="0" w:line="240" w:lineRule="auto"/>
        <w:rPr>
          <w:rFonts w:ascii="Cambria" w:hAnsi="Cambria"/>
          <w:color w:val="000000" w:themeColor="text1"/>
        </w:rPr>
      </w:pPr>
    </w:p>
    <w:p w14:paraId="2752ECE8" w14:textId="77777777" w:rsidR="006378AD" w:rsidRPr="009D7419" w:rsidRDefault="008152B5" w:rsidP="009D7419">
      <w:pPr>
        <w:pStyle w:val="ListParagraph"/>
        <w:widowControl w:val="0"/>
        <w:numPr>
          <w:ilvl w:val="0"/>
          <w:numId w:val="10"/>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Under </w:t>
      </w:r>
      <w:proofErr w:type="gramStart"/>
      <w:r w:rsidRPr="006378AD">
        <w:rPr>
          <w:rFonts w:ascii="Cambria" w:hAnsi="Cambria"/>
          <w:color w:val="000000" w:themeColor="text1"/>
        </w:rPr>
        <w:t>the</w:t>
      </w:r>
      <w:r w:rsidR="005A2556" w:rsidRPr="006378AD">
        <w:rPr>
          <w:rFonts w:ascii="Cambria" w:hAnsi="Cambria"/>
          <w:color w:val="000000" w:themeColor="text1"/>
        </w:rPr>
        <w:t xml:space="preserve"> </w:t>
      </w:r>
      <w:r w:rsidRPr="006378AD">
        <w:rPr>
          <w:rFonts w:ascii="Cambria" w:hAnsi="Cambria"/>
          <w:color w:val="000000" w:themeColor="text1"/>
        </w:rPr>
        <w:t>Every</w:t>
      </w:r>
      <w:proofErr w:type="gramEnd"/>
      <w:r w:rsidRPr="006378AD">
        <w:rPr>
          <w:rFonts w:ascii="Cambria" w:hAnsi="Cambria"/>
          <w:color w:val="000000" w:themeColor="text1"/>
        </w:rPr>
        <w:t xml:space="preserve"> Student Succeeds Act of 2015 (ESSA), districts that receive Title I funds must publish annual state and local report cards on their websites that are concise and in an accessible format.</w:t>
      </w:r>
      <w:r w:rsidR="0092351B">
        <w:rPr>
          <w:rFonts w:ascii="Cambria" w:hAnsi="Cambria"/>
          <w:color w:val="000000" w:themeColor="text1"/>
        </w:rPr>
        <w:t xml:space="preserve"> </w:t>
      </w:r>
      <w:r w:rsidR="0092351B" w:rsidRPr="0092351B">
        <w:rPr>
          <w:rFonts w:ascii="Cambria" w:hAnsi="Cambria"/>
          <w:color w:val="000000" w:themeColor="text1"/>
        </w:rPr>
        <w:t>U.S.C. § 6311(h)(1)(A), (B)(iii), and (h)(2)(A), (B)(iii)).</w:t>
      </w:r>
    </w:p>
    <w:p w14:paraId="335758B3" w14:textId="77777777" w:rsidR="00F5088C" w:rsidRPr="006378AD" w:rsidRDefault="00F5088C" w:rsidP="00641885">
      <w:pPr>
        <w:pStyle w:val="Heading2"/>
      </w:pPr>
      <w:r w:rsidRPr="006378AD">
        <w:lastRenderedPageBreak/>
        <w:t xml:space="preserve">Highly Recommended </w:t>
      </w:r>
      <w:r w:rsidR="005A2556" w:rsidRPr="006378AD">
        <w:t xml:space="preserve">by State or Federal Law </w:t>
      </w:r>
    </w:p>
    <w:p w14:paraId="38F28B64" w14:textId="77777777" w:rsidR="00F5088C" w:rsidRPr="006378AD" w:rsidRDefault="00F5088C" w:rsidP="00F5088C">
      <w:pPr>
        <w:pStyle w:val="ListParagraph"/>
        <w:numPr>
          <w:ilvl w:val="0"/>
          <w:numId w:val="7"/>
        </w:numPr>
        <w:rPr>
          <w:rFonts w:ascii="Cambria" w:hAnsi="Cambria" w:cs="Times New Roman"/>
          <w:b/>
          <w:bCs/>
          <w:color w:val="000000" w:themeColor="text1"/>
        </w:rPr>
      </w:pPr>
      <w:r w:rsidRPr="006378AD">
        <w:rPr>
          <w:rFonts w:ascii="Cambria" w:hAnsi="Cambria"/>
          <w:color w:val="000000" w:themeColor="text1"/>
        </w:rPr>
        <w:t>Local board’s statement regarding prohibition against unlawful discrimination and harassment and notice concerning the district’s compliance officer(s), including state and federal nondiscrimination laws that are not already required to be posted under Title IX and C.R.S.</w:t>
      </w:r>
      <w:r w:rsidR="0092351B">
        <w:rPr>
          <w:rFonts w:ascii="Cambria" w:hAnsi="Cambria"/>
          <w:color w:val="000000" w:themeColor="text1"/>
        </w:rPr>
        <w:t xml:space="preserve"> </w:t>
      </w:r>
      <w:r w:rsidR="0092351B" w:rsidRPr="0092351B">
        <w:rPr>
          <w:rFonts w:ascii="Cambria" w:hAnsi="Cambria"/>
          <w:color w:val="000000" w:themeColor="text1"/>
        </w:rPr>
        <w:t>§</w:t>
      </w:r>
      <w:r w:rsidRPr="006378AD">
        <w:rPr>
          <w:rFonts w:ascii="Cambria" w:hAnsi="Cambria"/>
          <w:color w:val="000000" w:themeColor="text1"/>
        </w:rPr>
        <w:t xml:space="preserve"> 22-1-143. </w:t>
      </w:r>
    </w:p>
    <w:p w14:paraId="4BDA564A" w14:textId="77777777" w:rsidR="008152B5" w:rsidRPr="006378AD" w:rsidRDefault="008152B5" w:rsidP="008152B5">
      <w:pPr>
        <w:pStyle w:val="ListParagraph"/>
        <w:rPr>
          <w:rFonts w:ascii="Cambria" w:hAnsi="Cambria" w:cs="Times New Roman"/>
          <w:b/>
          <w:bCs/>
          <w:color w:val="000000" w:themeColor="text1"/>
        </w:rPr>
      </w:pPr>
    </w:p>
    <w:p w14:paraId="122D425B"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Student conduct and discipline code</w:t>
      </w:r>
      <w:r w:rsidRPr="0092351B">
        <w:rPr>
          <w:rFonts w:ascii="Cambria" w:hAnsi="Cambria"/>
          <w:color w:val="000000" w:themeColor="text1"/>
        </w:rPr>
        <w:t>.</w:t>
      </w:r>
      <w:r w:rsidR="0092351B" w:rsidRPr="0092351B">
        <w:rPr>
          <w:rFonts w:ascii="Cambria" w:hAnsi="Cambria"/>
          <w:color w:val="000000" w:themeColor="text1"/>
        </w:rPr>
        <w:t xml:space="preserve"> C.R.S. § 22-32-109.1(2)(a).</w:t>
      </w:r>
      <w:r w:rsidRPr="0092351B">
        <w:rPr>
          <w:rStyle w:val="FootnoteReference"/>
          <w:rFonts w:ascii="Cambria" w:hAnsi="Cambria"/>
          <w:color w:val="000000" w:themeColor="text1"/>
        </w:rPr>
        <w:footnoteReference w:id="23"/>
      </w:r>
      <w:r w:rsidRPr="006378AD">
        <w:rPr>
          <w:rFonts w:ascii="Cambria" w:hAnsi="Cambria"/>
          <w:color w:val="000000" w:themeColor="text1"/>
        </w:rPr>
        <w:t xml:space="preserve"> </w:t>
      </w:r>
    </w:p>
    <w:p w14:paraId="4BE4307B" w14:textId="77777777" w:rsidR="008152B5" w:rsidRPr="006378AD" w:rsidRDefault="008152B5" w:rsidP="008152B5">
      <w:pPr>
        <w:pStyle w:val="ListParagraph"/>
        <w:widowControl w:val="0"/>
        <w:autoSpaceDE w:val="0"/>
        <w:autoSpaceDN w:val="0"/>
        <w:adjustRightInd w:val="0"/>
        <w:rPr>
          <w:rFonts w:ascii="Cambria" w:hAnsi="Cambria"/>
          <w:color w:val="000000" w:themeColor="text1"/>
        </w:rPr>
      </w:pPr>
    </w:p>
    <w:p w14:paraId="0C24C26B"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Family Educational Rights and Privacy Act (FERPA) and Protection of Pupil Rights Amendment (PPRA) notices, including the directory information policy, although posting to the website should not be the exclusive means of notification.</w:t>
      </w:r>
      <w:r w:rsidR="0092351B">
        <w:rPr>
          <w:rFonts w:ascii="Cambria" w:hAnsi="Cambria"/>
          <w:color w:val="000000" w:themeColor="text1"/>
        </w:rPr>
        <w:t xml:space="preserve"> </w:t>
      </w:r>
      <w:r w:rsidR="0092351B" w:rsidRPr="00393AAC">
        <w:rPr>
          <w:rFonts w:ascii="Cambria" w:hAnsi="Cambria"/>
          <w:color w:val="000000" w:themeColor="text1"/>
        </w:rPr>
        <w:t>20 U.S.C. § 1232g (FERPA); 34 C.F.R. § 99.1 – 99.8.</w:t>
      </w:r>
      <w:r w:rsidR="0092351B"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4"/>
      </w:r>
      <w:r w:rsidR="001360A5" w:rsidRPr="006378AD">
        <w:rPr>
          <w:rFonts w:ascii="Cambria" w:hAnsi="Cambria"/>
          <w:color w:val="000000" w:themeColor="text1"/>
        </w:rPr>
        <w:br/>
      </w:r>
    </w:p>
    <w:p w14:paraId="212CF5A8" w14:textId="77777777" w:rsidR="008152B5" w:rsidRPr="00393AAC"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u w:val="single"/>
        </w:rPr>
      </w:pPr>
      <w:r w:rsidRPr="00393AAC">
        <w:rPr>
          <w:rFonts w:ascii="Cambria" w:hAnsi="Cambria"/>
          <w:color w:val="000000" w:themeColor="text1"/>
        </w:rPr>
        <w:t>Notice of the district’s asbestos management plan and planned or in-progress inspections, re-inspections, response actions, and post-response actions, including periodic re-inspection and surveillance activities.</w:t>
      </w:r>
      <w:r w:rsidR="00393AAC" w:rsidRPr="00393AAC">
        <w:rPr>
          <w:rFonts w:ascii="Cambria" w:hAnsi="Cambria"/>
          <w:color w:val="000000" w:themeColor="text1"/>
        </w:rPr>
        <w:t xml:space="preserve"> 40 C.F.R. §§ 763.84(c), (f), 763.93(g)(2). </w:t>
      </w:r>
      <w:r w:rsidR="001360A5" w:rsidRPr="00393AAC">
        <w:rPr>
          <w:rFonts w:ascii="Cambria" w:hAnsi="Cambria"/>
          <w:color w:val="000000" w:themeColor="text1"/>
        </w:rPr>
        <w:br/>
      </w:r>
    </w:p>
    <w:p w14:paraId="54D8E10E"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school board meetings may be posted on the district’s website and shall meet the notice of requirements of Colorado’s Open Meetings Law if posted online at least 24 hours prior to the meeting.</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24-6-402(2)(c)(III).</w:t>
      </w:r>
      <w:r w:rsidR="00393AAC" w:rsidRPr="006378AD">
        <w:rPr>
          <w:rFonts w:ascii="Cambria" w:hAnsi="Cambria"/>
          <w:color w:val="000000" w:themeColor="text1"/>
        </w:rPr>
        <w:t xml:space="preserve"> </w:t>
      </w:r>
      <w:r w:rsidR="001360A5" w:rsidRPr="006378AD">
        <w:rPr>
          <w:rFonts w:ascii="Cambria" w:hAnsi="Cambria"/>
          <w:color w:val="000000" w:themeColor="text1"/>
        </w:rPr>
        <w:br/>
      </w:r>
    </w:p>
    <w:p w14:paraId="1F3ECAAD"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School boards may charge a fee for research and retrieval of public documents pursuant to the Colorado Open Records Act. Before charging an increased fee, a school board must revise its policy to include the new fee and post the updated policy on its website or otherwise publish the written policy.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24-72-205(6).</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5"/>
      </w:r>
      <w:r w:rsidRPr="006378AD">
        <w:rPr>
          <w:rFonts w:ascii="Cambria" w:hAnsi="Cambria"/>
          <w:color w:val="000000" w:themeColor="text1"/>
        </w:rPr>
        <w:t xml:space="preserve"> </w:t>
      </w:r>
    </w:p>
    <w:p w14:paraId="50F351EC" w14:textId="77777777" w:rsidR="005A2556" w:rsidRPr="006378AD" w:rsidRDefault="005A2556" w:rsidP="005A2556">
      <w:pPr>
        <w:widowControl w:val="0"/>
        <w:autoSpaceDE w:val="0"/>
        <w:autoSpaceDN w:val="0"/>
        <w:adjustRightInd w:val="0"/>
        <w:spacing w:after="0" w:line="240" w:lineRule="auto"/>
        <w:rPr>
          <w:rFonts w:ascii="Cambria" w:hAnsi="Cambria"/>
          <w:color w:val="000000" w:themeColor="text1"/>
        </w:rPr>
      </w:pPr>
    </w:p>
    <w:p w14:paraId="219AAB9E"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Updated standardized immunization document developed by the Colorado Department of Public Health and Environment.</w:t>
      </w:r>
      <w:r w:rsidR="00393AAC">
        <w:rPr>
          <w:rFonts w:ascii="Cambria" w:hAnsi="Cambria"/>
          <w:color w:val="000000" w:themeColor="text1"/>
        </w:rPr>
        <w:t xml:space="preserve"> </w:t>
      </w:r>
      <w:r w:rsidR="00393AAC" w:rsidRPr="00393AAC">
        <w:rPr>
          <w:rFonts w:ascii="Cambria" w:hAnsi="Cambria"/>
          <w:color w:val="000000" w:themeColor="text1"/>
        </w:rPr>
        <w:t>C.R.S. § 22-32-140.</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6"/>
      </w:r>
      <w:r w:rsidRPr="006378AD">
        <w:rPr>
          <w:rFonts w:ascii="Cambria" w:hAnsi="Cambria"/>
          <w:color w:val="000000" w:themeColor="text1"/>
        </w:rPr>
        <w:t xml:space="preserve"> </w:t>
      </w:r>
    </w:p>
    <w:p w14:paraId="0A482D05" w14:textId="77777777"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14:paraId="0DF3BD89"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statement identifying where and the procedures by which community members may obtain information collected by law enforcement about registered sex offenders.</w:t>
      </w:r>
      <w:r w:rsidR="00393AAC">
        <w:rPr>
          <w:rFonts w:ascii="Cambria" w:hAnsi="Cambria"/>
          <w:color w:val="000000" w:themeColor="text1"/>
        </w:rPr>
        <w:t xml:space="preserve"> </w:t>
      </w:r>
      <w:r w:rsidR="00393AAC" w:rsidRPr="00393AAC">
        <w:rPr>
          <w:rFonts w:ascii="Cambria" w:hAnsi="Cambria"/>
          <w:color w:val="000000" w:themeColor="text1"/>
        </w:rPr>
        <w:t>C.R.S. § 22-1-124.</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7"/>
      </w:r>
      <w:r w:rsidRPr="006378AD">
        <w:rPr>
          <w:rFonts w:ascii="Cambria" w:hAnsi="Cambria"/>
          <w:color w:val="000000" w:themeColor="text1"/>
        </w:rPr>
        <w:t xml:space="preserve"> </w:t>
      </w:r>
    </w:p>
    <w:p w14:paraId="4ED8D64D" w14:textId="77777777"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14:paraId="6FA2191E"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on wellness and the results of the district Wellness Advisory Council’s triennial assessment.</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7 C.F.R. § 210.30(e)(2).</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8"/>
      </w:r>
      <w:r w:rsidRPr="006378AD">
        <w:rPr>
          <w:rFonts w:ascii="Cambria" w:hAnsi="Cambria"/>
          <w:color w:val="000000" w:themeColor="text1"/>
        </w:rPr>
        <w:t xml:space="preserve"> </w:t>
      </w:r>
    </w:p>
    <w:p w14:paraId="015FADE0" w14:textId="77777777"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14:paraId="4E9E0D24"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If the district chooses to adopt an internet safety plan, an annual report summarizing the internet safety plan implementation report (if any).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22-32-109.1(2)(c)(I)(H)(IV).</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9"/>
      </w:r>
      <w:r w:rsidRPr="006378AD">
        <w:rPr>
          <w:rFonts w:ascii="Cambria" w:hAnsi="Cambria"/>
          <w:color w:val="000000" w:themeColor="text1"/>
        </w:rPr>
        <w:t xml:space="preserve"> </w:t>
      </w:r>
    </w:p>
    <w:p w14:paraId="4453BCE2" w14:textId="77777777" w:rsidR="008152B5" w:rsidRPr="006378AD" w:rsidRDefault="008152B5" w:rsidP="008152B5">
      <w:pPr>
        <w:pStyle w:val="ListParagraph"/>
        <w:widowControl w:val="0"/>
        <w:autoSpaceDE w:val="0"/>
        <w:autoSpaceDN w:val="0"/>
        <w:adjustRightInd w:val="0"/>
        <w:spacing w:after="0" w:line="240" w:lineRule="auto"/>
        <w:rPr>
          <w:rFonts w:ascii="Cambria" w:hAnsi="Cambria"/>
          <w:color w:val="000000" w:themeColor="text1"/>
        </w:rPr>
      </w:pPr>
    </w:p>
    <w:p w14:paraId="5B820FDA" w14:textId="77777777" w:rsidR="006E335E" w:rsidRDefault="008152B5" w:rsidP="001360A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If the board has adopted a policy regarding healthful food choices, the information of nutritional content of food and beverages available on school property.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22-32-136(3)(b)(I)-(II).</w:t>
      </w:r>
    </w:p>
    <w:p w14:paraId="27A711A9" w14:textId="77777777" w:rsidR="00193266" w:rsidRPr="00193266" w:rsidRDefault="00193266" w:rsidP="00193266">
      <w:pPr>
        <w:pStyle w:val="ListParagraph"/>
        <w:rPr>
          <w:rFonts w:ascii="Cambria" w:hAnsi="Cambria"/>
          <w:color w:val="000000" w:themeColor="text1"/>
        </w:rPr>
      </w:pPr>
    </w:p>
    <w:p w14:paraId="4F5D56B6" w14:textId="77777777" w:rsidR="00193266" w:rsidRPr="00193266" w:rsidRDefault="00193266" w:rsidP="00193266">
      <w:pPr>
        <w:widowControl w:val="0"/>
        <w:autoSpaceDE w:val="0"/>
        <w:autoSpaceDN w:val="0"/>
        <w:adjustRightInd w:val="0"/>
        <w:spacing w:after="0" w:line="240" w:lineRule="auto"/>
        <w:rPr>
          <w:rFonts w:ascii="Cambria" w:hAnsi="Cambria"/>
          <w:i/>
          <w:iCs/>
          <w:color w:val="000000" w:themeColor="text1"/>
        </w:rPr>
      </w:pPr>
      <w:r w:rsidRPr="00193266">
        <w:rPr>
          <w:rFonts w:ascii="Cambria" w:hAnsi="Cambria"/>
          <w:i/>
          <w:iCs/>
          <w:color w:val="000000" w:themeColor="text1"/>
        </w:rPr>
        <w:t>Updated April</w:t>
      </w:r>
      <w:r>
        <w:rPr>
          <w:rFonts w:ascii="Cambria" w:hAnsi="Cambria"/>
          <w:i/>
          <w:iCs/>
          <w:color w:val="000000" w:themeColor="text1"/>
        </w:rPr>
        <w:t xml:space="preserve"> </w:t>
      </w:r>
      <w:r w:rsidRPr="00193266">
        <w:rPr>
          <w:rFonts w:ascii="Cambria" w:hAnsi="Cambria"/>
          <w:i/>
          <w:iCs/>
          <w:color w:val="000000" w:themeColor="text1"/>
        </w:rPr>
        <w:t>2025</w:t>
      </w:r>
    </w:p>
    <w:sectPr w:rsidR="00193266" w:rsidRPr="00193266" w:rsidSect="009D7419">
      <w:headerReference w:type="even" r:id="rId7"/>
      <w:headerReference w:type="default" r:id="rId8"/>
      <w:pgSz w:w="12240" w:h="15840"/>
      <w:pgMar w:top="1548" w:right="540" w:bottom="405" w:left="5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E3A8" w14:textId="77777777" w:rsidR="00B673A2" w:rsidRDefault="00B673A2" w:rsidP="006E335E">
      <w:pPr>
        <w:spacing w:after="0" w:line="240" w:lineRule="auto"/>
      </w:pPr>
      <w:r>
        <w:separator/>
      </w:r>
    </w:p>
  </w:endnote>
  <w:endnote w:type="continuationSeparator" w:id="0">
    <w:p w14:paraId="1441775B" w14:textId="77777777" w:rsidR="00B673A2" w:rsidRDefault="00B673A2" w:rsidP="006E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58F2" w14:textId="77777777" w:rsidR="00B673A2" w:rsidRDefault="00B673A2" w:rsidP="006E335E">
      <w:pPr>
        <w:spacing w:after="0" w:line="240" w:lineRule="auto"/>
      </w:pPr>
      <w:r>
        <w:separator/>
      </w:r>
    </w:p>
  </w:footnote>
  <w:footnote w:type="continuationSeparator" w:id="0">
    <w:p w14:paraId="45B0F3A9" w14:textId="77777777" w:rsidR="00B673A2" w:rsidRDefault="00B673A2" w:rsidP="006E335E">
      <w:pPr>
        <w:spacing w:after="0" w:line="240" w:lineRule="auto"/>
      </w:pPr>
      <w:r>
        <w:continuationSeparator/>
      </w:r>
    </w:p>
  </w:footnote>
  <w:footnote w:id="1">
    <w:p w14:paraId="308079A1" w14:textId="77777777" w:rsidR="005A2556" w:rsidRPr="006378AD" w:rsidRDefault="005A2556" w:rsidP="005A2556">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BEC, Executive Sessions.</w:t>
      </w:r>
    </w:p>
  </w:footnote>
  <w:footnote w:id="2">
    <w:p w14:paraId="4BC6EA28" w14:textId="77777777" w:rsidR="005A2556" w:rsidRPr="006378AD" w:rsidRDefault="005A2556" w:rsidP="005A2556">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Exhibit DAB*-E, Financial Administration (Online Posting of Financial Information).</w:t>
      </w:r>
    </w:p>
  </w:footnote>
  <w:footnote w:id="3">
    <w:p w14:paraId="2911E41D"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AEE*, Waiver of State Law and Regulation and Sample Exhibit DAB*-E, Financial Administration (Online Posting of Financial Information).</w:t>
      </w:r>
    </w:p>
  </w:footnote>
  <w:footnote w:id="4">
    <w:p w14:paraId="2E68EF5F"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DEA, Funds from Local Tax Sources.</w:t>
      </w:r>
    </w:p>
  </w:footnote>
  <w:footnote w:id="5">
    <w:p w14:paraId="0AB3EA41"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DEA, Funds from Local Tax Sources and Sample Exhibit DAB*-E, Financial Administration (Online Posting of Financial Information).</w:t>
      </w:r>
    </w:p>
  </w:footnote>
  <w:footnote w:id="6">
    <w:p w14:paraId="332E71D1"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Exhibit DAB*-E, Financial Administration (Online Posting of Financial Information).</w:t>
      </w:r>
    </w:p>
  </w:footnote>
  <w:footnote w:id="7">
    <w:p w14:paraId="17D12D3B"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H, Negotiations.</w:t>
      </w:r>
    </w:p>
  </w:footnote>
  <w:footnote w:id="8">
    <w:p w14:paraId="4EC0DCCA"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IKA, Grading/Assessment Systems.</w:t>
      </w:r>
    </w:p>
  </w:footnote>
  <w:footnote w:id="9">
    <w:p w14:paraId="57E31F9A"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Regulation IKA-R, Grading/Assessment Systems (Exemption Procedure and Information to Parents/Guardians).</w:t>
      </w:r>
    </w:p>
  </w:footnote>
  <w:footnote w:id="10">
    <w:p w14:paraId="3F403834"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1">
    <w:p w14:paraId="1DB8F3E4"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 xml:space="preserve">CASB Sample Policy JRCB*, Privacy and Protection of Confidential Student Information. </w:t>
      </w:r>
    </w:p>
  </w:footnote>
  <w:footnote w:id="12">
    <w:p w14:paraId="5B7132DD"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3">
    <w:p w14:paraId="20B93B9A"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4">
    <w:p w14:paraId="7D304B53"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5">
    <w:p w14:paraId="40C69AD3"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6">
    <w:p w14:paraId="1E2E6B3E"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 xml:space="preserve">See also </w:t>
      </w:r>
      <w:r w:rsidRPr="006378AD">
        <w:rPr>
          <w:rFonts w:ascii="Cambria" w:hAnsi="Cambria"/>
          <w:color w:val="000000" w:themeColor="text1"/>
          <w:sz w:val="18"/>
          <w:szCs w:val="18"/>
        </w:rPr>
        <w:t xml:space="preserve">CASB Resource: </w:t>
      </w:r>
      <w:hyperlink r:id="rId1" w:history="1">
        <w:r w:rsidRPr="006378AD">
          <w:rPr>
            <w:rStyle w:val="Hyperlink"/>
            <w:rFonts w:ascii="Cambria" w:eastAsiaTheme="majorEastAsia" w:hAnsi="Cambria"/>
            <w:color w:val="000000" w:themeColor="text1"/>
            <w:sz w:val="18"/>
            <w:szCs w:val="18"/>
          </w:rPr>
          <w:t>Juvenile Justice FAQ and Sample Explanation of Services/Resources</w:t>
        </w:r>
      </w:hyperlink>
    </w:p>
  </w:footnote>
  <w:footnote w:id="17">
    <w:p w14:paraId="75D4F426"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 xml:space="preserve">See also </w:t>
      </w:r>
      <w:r w:rsidRPr="006378AD">
        <w:rPr>
          <w:rFonts w:ascii="Cambria" w:hAnsi="Cambria"/>
          <w:color w:val="000000" w:themeColor="text1"/>
          <w:sz w:val="18"/>
          <w:szCs w:val="18"/>
        </w:rPr>
        <w:t xml:space="preserve">CASB Sample Policy AC Nondiscrimination/Equal Opportunity and Sample Regulations AC-R-1 and AC-R-2. </w:t>
      </w:r>
    </w:p>
  </w:footnote>
  <w:footnote w:id="18">
    <w:p w14:paraId="05A752B7"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See also</w:t>
      </w:r>
      <w:r w:rsidRPr="006378AD">
        <w:rPr>
          <w:rFonts w:ascii="Cambria" w:hAnsi="Cambria"/>
          <w:color w:val="000000" w:themeColor="text1"/>
          <w:sz w:val="18"/>
          <w:szCs w:val="18"/>
        </w:rPr>
        <w:t xml:space="preserve"> CASB Sample Policy JLCDC*, Medically Necessary Treatment in School Setting, and JLCDC*-R, Authorizing Private Health-Care Specialists to Provide Medically Necessary Treatment in School Setting.  </w:t>
      </w:r>
    </w:p>
  </w:footnote>
  <w:footnote w:id="19">
    <w:p w14:paraId="7F1CE229"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JLCDB*, Administration of Medical Marijuana to Qualified Students.</w:t>
      </w:r>
    </w:p>
  </w:footnote>
  <w:footnote w:id="20">
    <w:p w14:paraId="121D3B21"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JLCD, Administering Medications to Students.</w:t>
      </w:r>
    </w:p>
  </w:footnote>
  <w:footnote w:id="21">
    <w:p w14:paraId="06721A9D" w14:textId="77777777" w:rsidR="008152B5" w:rsidRPr="006378AD" w:rsidRDefault="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Style w:val="Emphasis"/>
          <w:rFonts w:ascii="Cambria" w:eastAsiaTheme="majorEastAsia" w:hAnsi="Cambria" w:cs="Open Sans"/>
          <w:color w:val="000000" w:themeColor="text1"/>
          <w:sz w:val="18"/>
          <w:szCs w:val="18"/>
          <w:bdr w:val="none" w:sz="0" w:space="0" w:color="auto" w:frame="1"/>
        </w:rPr>
        <w:t xml:space="preserve">See also </w:t>
      </w:r>
      <w:hyperlink r:id="rId2" w:history="1">
        <w:r w:rsidRPr="006378AD">
          <w:rPr>
            <w:rStyle w:val="Hyperlink"/>
            <w:rFonts w:ascii="Cambria" w:eastAsiaTheme="majorEastAsia" w:hAnsi="Cambria" w:cs="Open Sans"/>
            <w:color w:val="000000" w:themeColor="text1"/>
            <w:sz w:val="18"/>
            <w:szCs w:val="18"/>
            <w:bdr w:val="none" w:sz="0" w:space="0" w:color="auto" w:frame="1"/>
          </w:rPr>
          <w:t>CASB Sample Accessibility Statement</w:t>
        </w:r>
      </w:hyperlink>
      <w:r w:rsidRPr="006378AD">
        <w:rPr>
          <w:rStyle w:val="Emphasis"/>
          <w:rFonts w:ascii="Cambria" w:eastAsiaTheme="majorEastAsia" w:hAnsi="Cambria" w:cs="Open Sans"/>
          <w:i w:val="0"/>
          <w:iCs w:val="0"/>
          <w:color w:val="000000" w:themeColor="text1"/>
          <w:sz w:val="18"/>
          <w:szCs w:val="18"/>
          <w:bdr w:val="none" w:sz="0" w:space="0" w:color="auto" w:frame="1"/>
        </w:rPr>
        <w:t xml:space="preserve">. </w:t>
      </w:r>
    </w:p>
  </w:footnote>
  <w:footnote w:id="22">
    <w:p w14:paraId="6273A04C" w14:textId="77777777" w:rsidR="001B2E8F" w:rsidRPr="0088107D" w:rsidRDefault="001B2E8F">
      <w:pPr>
        <w:pStyle w:val="FootnoteText"/>
      </w:pPr>
      <w:r>
        <w:rPr>
          <w:rStyle w:val="FootnoteReference"/>
        </w:rPr>
        <w:footnoteRef/>
      </w:r>
      <w:r>
        <w:t xml:space="preserve"> </w:t>
      </w:r>
      <w:r w:rsidR="0088107D" w:rsidRPr="0088107D">
        <w:rPr>
          <w:rFonts w:ascii="Cambria" w:hAnsi="Cambria"/>
          <w:i/>
          <w:iCs/>
          <w:sz w:val="18"/>
          <w:szCs w:val="18"/>
        </w:rPr>
        <w:t xml:space="preserve">See also </w:t>
      </w:r>
      <w:r w:rsidR="0088107D" w:rsidRPr="0088107D">
        <w:rPr>
          <w:rFonts w:ascii="Cambria" w:hAnsi="Cambria"/>
          <w:sz w:val="18"/>
          <w:szCs w:val="18"/>
        </w:rPr>
        <w:t>CASB Sample Policy AC-R-3</w:t>
      </w:r>
      <w:r w:rsidR="007F29CE">
        <w:rPr>
          <w:rFonts w:ascii="Cambria" w:hAnsi="Cambria"/>
          <w:sz w:val="18"/>
          <w:szCs w:val="18"/>
        </w:rPr>
        <w:t>, Sexual Harassment Investigation Procedures.</w:t>
      </w:r>
    </w:p>
  </w:footnote>
  <w:footnote w:id="23">
    <w:p w14:paraId="08D96458"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Policies, codes JIC through JK.</w:t>
      </w:r>
    </w:p>
  </w:footnote>
  <w:footnote w:id="24">
    <w:p w14:paraId="16EB4A8E"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00D97CF5">
        <w:rPr>
          <w:rFonts w:ascii="Cambria" w:hAnsi="Cambria"/>
          <w:i/>
          <w:color w:val="000000" w:themeColor="text1"/>
          <w:sz w:val="18"/>
          <w:szCs w:val="18"/>
        </w:rPr>
        <w:t>S</w:t>
      </w:r>
      <w:r w:rsidRPr="006378AD">
        <w:rPr>
          <w:rFonts w:ascii="Cambria" w:hAnsi="Cambria"/>
          <w:i/>
          <w:color w:val="000000" w:themeColor="text1"/>
          <w:sz w:val="18"/>
          <w:szCs w:val="18"/>
        </w:rPr>
        <w:t>ee also</w:t>
      </w:r>
      <w:r w:rsidRPr="006378AD">
        <w:rPr>
          <w:rFonts w:ascii="Cambria" w:hAnsi="Cambria"/>
          <w:color w:val="000000" w:themeColor="text1"/>
          <w:sz w:val="18"/>
          <w:szCs w:val="18"/>
        </w:rPr>
        <w:t xml:space="preserve"> CASB Sample policy JRA/JRC, Student Records/Release of Information on Students.</w:t>
      </w:r>
    </w:p>
  </w:footnote>
  <w:footnote w:id="25">
    <w:p w14:paraId="5B97E11B"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KDB, Public’s Right to Know/Freedom of Information.</w:t>
      </w:r>
    </w:p>
  </w:footnote>
  <w:footnote w:id="26">
    <w:p w14:paraId="6CA3B980"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JLCB, Immunization of Students.</w:t>
      </w:r>
    </w:p>
  </w:footnote>
  <w:footnote w:id="27">
    <w:p w14:paraId="60104488"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JLFF*, Sex Offender Information.</w:t>
      </w:r>
    </w:p>
  </w:footnote>
  <w:footnote w:id="28">
    <w:p w14:paraId="6B21F7EF"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ADF, School Wellness.</w:t>
      </w:r>
    </w:p>
  </w:footnote>
  <w:footnote w:id="29">
    <w:p w14:paraId="1131868F"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 xml:space="preserve">CASB Sample Policy JS*, Student Use of </w:t>
      </w:r>
      <w:r w:rsidR="007F29CE">
        <w:rPr>
          <w:rFonts w:ascii="Cambria" w:hAnsi="Cambria"/>
          <w:color w:val="000000" w:themeColor="text1"/>
          <w:sz w:val="18"/>
          <w:szCs w:val="18"/>
        </w:rPr>
        <w:t>Technology.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0313904"/>
      <w:docPartObj>
        <w:docPartGallery w:val="Page Numbers (Top of Page)"/>
        <w:docPartUnique/>
      </w:docPartObj>
    </w:sdtPr>
    <w:sdtEndPr>
      <w:rPr>
        <w:rStyle w:val="PageNumber"/>
      </w:rPr>
    </w:sdtEndPr>
    <w:sdtContent>
      <w:p w14:paraId="5195411F" w14:textId="77777777" w:rsidR="0049292B" w:rsidRDefault="0049292B" w:rsidP="009D74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0253D" w14:textId="77777777" w:rsidR="0049292B" w:rsidRDefault="0049292B" w:rsidP="004929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3299711"/>
      <w:docPartObj>
        <w:docPartGallery w:val="Page Numbers (Top of Page)"/>
        <w:docPartUnique/>
      </w:docPartObj>
    </w:sdtPr>
    <w:sdtEndPr>
      <w:rPr>
        <w:rStyle w:val="PageNumber"/>
      </w:rPr>
    </w:sdtEndPr>
    <w:sdtContent>
      <w:p w14:paraId="2B0E45F3" w14:textId="77777777" w:rsidR="009D7419" w:rsidRDefault="009D7419" w:rsidP="009D7419">
        <w:pPr>
          <w:pStyle w:val="Header"/>
          <w:framePr w:wrap="none" w:vAnchor="text" w:hAnchor="page" w:x="11557" w:y="4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D9E50D8" w14:textId="77777777" w:rsidR="006E335E" w:rsidRPr="006378AD" w:rsidRDefault="001B2E8F" w:rsidP="00641885">
    <w:pPr>
      <w:pStyle w:val="Heading1"/>
      <w:rPr>
        <w:rFonts w:ascii="Times New Roman" w:hAnsi="Times New Roman"/>
        <w:color w:val="000000"/>
        <w:sz w:val="48"/>
        <w:szCs w:val="48"/>
      </w:rPr>
    </w:pPr>
    <w:r>
      <w:rPr>
        <w:noProof/>
      </w:rPr>
      <w:drawing>
        <wp:anchor distT="0" distB="0" distL="114300" distR="114300" simplePos="0" relativeHeight="251659264" behindDoc="1" locked="0" layoutInCell="1" allowOverlap="1" wp14:anchorId="4E52E316" wp14:editId="5CDE9F61">
          <wp:simplePos x="0" y="0"/>
          <wp:positionH relativeFrom="column">
            <wp:posOffset>1905</wp:posOffset>
          </wp:positionH>
          <wp:positionV relativeFrom="paragraph">
            <wp:posOffset>248805</wp:posOffset>
          </wp:positionV>
          <wp:extent cx="2900218" cy="492962"/>
          <wp:effectExtent l="0" t="0" r="0" b="2540"/>
          <wp:wrapNone/>
          <wp:docPr id="2107881067" name="Picture 2107881067" descr="Blue text with a white background that says “Colorado Association of School Bo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81067" name="Picture 2107881067" descr="Blue text with a white background that says “Colorado Association of School Boards”">
                    <a:extLst>
                      <a:ext uri="{C183D7F6-B498-43B3-948B-1728B52AA6E4}">
                        <adec:decorative xmlns:adec="http://schemas.microsoft.com/office/drawing/2017/decorative" val="0"/>
                      </a:ext>
                    </a:extLst>
                  </pic:cNvPr>
                  <pic:cNvPicPr/>
                </pic:nvPicPr>
                <pic:blipFill>
                  <a:blip r:embed="rId1"/>
                  <a:stretch>
                    <a:fillRect/>
                  </a:stretch>
                </pic:blipFill>
                <pic:spPr>
                  <a:xfrm>
                    <a:off x="0" y="0"/>
                    <a:ext cx="2900218" cy="492962"/>
                  </a:xfrm>
                  <a:prstGeom prst="rect">
                    <a:avLst/>
                  </a:prstGeom>
                </pic:spPr>
              </pic:pic>
            </a:graphicData>
          </a:graphic>
          <wp14:sizeRelH relativeFrom="page">
            <wp14:pctWidth>0</wp14:pctWidth>
          </wp14:sizeRelH>
          <wp14:sizeRelV relativeFrom="page">
            <wp14:pctHeight>0</wp14:pctHeight>
          </wp14:sizeRelV>
        </wp:anchor>
      </w:drawing>
    </w:r>
    <w:r w:rsidR="006378AD" w:rsidRPr="00D97CF5">
      <w:rPr>
        <w:color w:val="auto"/>
        <w:bdr w:val="none" w:sz="0" w:space="0" w:color="auto" w:frame="1"/>
      </w:rPr>
      <w:fldChar w:fldCharType="begin"/>
    </w:r>
    <w:r w:rsidR="006378AD" w:rsidRPr="00D97CF5">
      <w:rPr>
        <w:color w:val="auto"/>
        <w:bdr w:val="none" w:sz="0" w:space="0" w:color="auto" w:frame="1"/>
      </w:rPr>
      <w:instrText xml:space="preserve"> INCLUDEPICTURE "https://lh7-rt.googleusercontent.com/docsz/AD_4nXe1blOtk7BDPfsEXnSJNtjTtCoRmoDOn8mMsTalBnSfVjd8bB0uPS_r_-QO2tXWEBwQuJ5MYxoeO8MxOElXa-Yw4xlAxbIBpe6vuYIUkk4PdaYy_o5Wc6q5UWBU8R8-hdxqlJiFWVKe6EBsvR6NYaD14w?key=325E45LRf7Qp7_heM57Vsg" \* MERGEFORMATINET </w:instrText>
    </w:r>
    <w:r w:rsidR="006378AD" w:rsidRPr="00D97CF5">
      <w:rPr>
        <w:color w:val="auto"/>
        <w:bdr w:val="none" w:sz="0" w:space="0" w:color="auto" w:frame="1"/>
      </w:rPr>
      <w:fldChar w:fldCharType="separate"/>
    </w:r>
    <w:r w:rsidR="006378AD" w:rsidRPr="00D97CF5">
      <w:rPr>
        <w:color w:val="auto"/>
        <w:bdr w:val="none" w:sz="0" w:space="0" w:color="auto" w:frame="1"/>
      </w:rPr>
      <w:fldChar w:fldCharType="end"/>
    </w:r>
    <w:r w:rsidR="009D7419" w:rsidRPr="00D97CF5">
      <w:rPr>
        <w:color w:val="auto"/>
        <w:bdr w:val="none" w:sz="0" w:space="0" w:color="auto" w:frame="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4177"/>
    <w:multiLevelType w:val="hybridMultilevel"/>
    <w:tmpl w:val="6A6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7395"/>
    <w:multiLevelType w:val="hybridMultilevel"/>
    <w:tmpl w:val="F9B41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D2117"/>
    <w:multiLevelType w:val="hybridMultilevel"/>
    <w:tmpl w:val="49FCA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66F42"/>
    <w:multiLevelType w:val="hybridMultilevel"/>
    <w:tmpl w:val="ED3E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24C2"/>
    <w:multiLevelType w:val="hybridMultilevel"/>
    <w:tmpl w:val="455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E7D22"/>
    <w:multiLevelType w:val="hybridMultilevel"/>
    <w:tmpl w:val="B1C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B0171"/>
    <w:multiLevelType w:val="hybridMultilevel"/>
    <w:tmpl w:val="C396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A5609"/>
    <w:multiLevelType w:val="hybridMultilevel"/>
    <w:tmpl w:val="9E409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907B4"/>
    <w:multiLevelType w:val="hybridMultilevel"/>
    <w:tmpl w:val="61E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7156E"/>
    <w:multiLevelType w:val="hybridMultilevel"/>
    <w:tmpl w:val="793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66627">
    <w:abstractNumId w:val="2"/>
  </w:num>
  <w:num w:numId="2" w16cid:durableId="752969784">
    <w:abstractNumId w:val="3"/>
  </w:num>
  <w:num w:numId="3" w16cid:durableId="1201825447">
    <w:abstractNumId w:val="9"/>
  </w:num>
  <w:num w:numId="4" w16cid:durableId="1809737706">
    <w:abstractNumId w:val="0"/>
  </w:num>
  <w:num w:numId="5" w16cid:durableId="748424576">
    <w:abstractNumId w:val="8"/>
  </w:num>
  <w:num w:numId="6" w16cid:durableId="1453134071">
    <w:abstractNumId w:val="6"/>
  </w:num>
  <w:num w:numId="7" w16cid:durableId="1652783111">
    <w:abstractNumId w:val="7"/>
  </w:num>
  <w:num w:numId="8" w16cid:durableId="1230964688">
    <w:abstractNumId w:val="5"/>
  </w:num>
  <w:num w:numId="9" w16cid:durableId="518931789">
    <w:abstractNumId w:val="4"/>
  </w:num>
  <w:num w:numId="10" w16cid:durableId="65047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5E"/>
    <w:rsid w:val="00006AEC"/>
    <w:rsid w:val="000D3D65"/>
    <w:rsid w:val="001360A5"/>
    <w:rsid w:val="00193266"/>
    <w:rsid w:val="001B18D5"/>
    <w:rsid w:val="001B2E8F"/>
    <w:rsid w:val="00210552"/>
    <w:rsid w:val="00214595"/>
    <w:rsid w:val="002C261A"/>
    <w:rsid w:val="00321D13"/>
    <w:rsid w:val="00392231"/>
    <w:rsid w:val="00393AAC"/>
    <w:rsid w:val="0049292B"/>
    <w:rsid w:val="005A2556"/>
    <w:rsid w:val="006102C0"/>
    <w:rsid w:val="006378AD"/>
    <w:rsid w:val="00641885"/>
    <w:rsid w:val="006E335E"/>
    <w:rsid w:val="007F29CE"/>
    <w:rsid w:val="008152B5"/>
    <w:rsid w:val="00874100"/>
    <w:rsid w:val="0088107D"/>
    <w:rsid w:val="0092351B"/>
    <w:rsid w:val="00980795"/>
    <w:rsid w:val="00983C45"/>
    <w:rsid w:val="009D7419"/>
    <w:rsid w:val="00B11974"/>
    <w:rsid w:val="00B673A2"/>
    <w:rsid w:val="00C32ABC"/>
    <w:rsid w:val="00D27C49"/>
    <w:rsid w:val="00D534F3"/>
    <w:rsid w:val="00D64DA3"/>
    <w:rsid w:val="00D97CF5"/>
    <w:rsid w:val="00DA473E"/>
    <w:rsid w:val="00F5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A6673"/>
  <w15:chartTrackingRefBased/>
  <w15:docId w15:val="{14A3E5B4-54DF-9546-9755-38152DDD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885"/>
    <w:pPr>
      <w:jc w:val="center"/>
      <w:outlineLvl w:val="0"/>
    </w:pPr>
    <w:rPr>
      <w:rFonts w:ascii="Cambria" w:hAnsi="Cambria" w:cs="Times New Roman"/>
      <w:b/>
      <w:bCs/>
      <w:color w:val="FFFFFF" w:themeColor="background1"/>
      <w:sz w:val="28"/>
      <w:szCs w:val="28"/>
    </w:rPr>
  </w:style>
  <w:style w:type="paragraph" w:styleId="Heading2">
    <w:name w:val="heading 2"/>
    <w:basedOn w:val="Normal"/>
    <w:next w:val="Normal"/>
    <w:link w:val="Heading2Char"/>
    <w:uiPriority w:val="9"/>
    <w:unhideWhenUsed/>
    <w:qFormat/>
    <w:rsid w:val="006E3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3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3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3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3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85"/>
    <w:rPr>
      <w:rFonts w:ascii="Cambria" w:hAnsi="Cambria" w:cs="Times New Roman"/>
      <w:b/>
      <w:bCs/>
      <w:color w:val="FFFFFF" w:themeColor="background1"/>
      <w:sz w:val="28"/>
      <w:szCs w:val="28"/>
    </w:rPr>
  </w:style>
  <w:style w:type="character" w:customStyle="1" w:styleId="Heading2Char">
    <w:name w:val="Heading 2 Char"/>
    <w:basedOn w:val="DefaultParagraphFont"/>
    <w:link w:val="Heading2"/>
    <w:uiPriority w:val="9"/>
    <w:rsid w:val="006E3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3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3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3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35E"/>
    <w:rPr>
      <w:rFonts w:eastAsiaTheme="majorEastAsia" w:cstheme="majorBidi"/>
      <w:color w:val="272727" w:themeColor="text1" w:themeTint="D8"/>
    </w:rPr>
  </w:style>
  <w:style w:type="paragraph" w:styleId="Title">
    <w:name w:val="Title"/>
    <w:basedOn w:val="Normal"/>
    <w:next w:val="Normal"/>
    <w:link w:val="TitleChar"/>
    <w:uiPriority w:val="10"/>
    <w:qFormat/>
    <w:rsid w:val="006E3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35E"/>
    <w:pPr>
      <w:spacing w:before="160"/>
      <w:jc w:val="center"/>
    </w:pPr>
    <w:rPr>
      <w:i/>
      <w:iCs/>
      <w:color w:val="404040" w:themeColor="text1" w:themeTint="BF"/>
    </w:rPr>
  </w:style>
  <w:style w:type="character" w:customStyle="1" w:styleId="QuoteChar">
    <w:name w:val="Quote Char"/>
    <w:basedOn w:val="DefaultParagraphFont"/>
    <w:link w:val="Quote"/>
    <w:uiPriority w:val="29"/>
    <w:rsid w:val="006E335E"/>
    <w:rPr>
      <w:i/>
      <w:iCs/>
      <w:color w:val="404040" w:themeColor="text1" w:themeTint="BF"/>
    </w:rPr>
  </w:style>
  <w:style w:type="paragraph" w:styleId="ListParagraph">
    <w:name w:val="List Paragraph"/>
    <w:basedOn w:val="Normal"/>
    <w:uiPriority w:val="34"/>
    <w:qFormat/>
    <w:rsid w:val="006E335E"/>
    <w:pPr>
      <w:ind w:left="720"/>
      <w:contextualSpacing/>
    </w:pPr>
  </w:style>
  <w:style w:type="character" w:styleId="IntenseEmphasis">
    <w:name w:val="Intense Emphasis"/>
    <w:basedOn w:val="DefaultParagraphFont"/>
    <w:uiPriority w:val="21"/>
    <w:qFormat/>
    <w:rsid w:val="006E335E"/>
    <w:rPr>
      <w:i/>
      <w:iCs/>
      <w:color w:val="2F5496" w:themeColor="accent1" w:themeShade="BF"/>
    </w:rPr>
  </w:style>
  <w:style w:type="paragraph" w:styleId="IntenseQuote">
    <w:name w:val="Intense Quote"/>
    <w:basedOn w:val="Normal"/>
    <w:next w:val="Normal"/>
    <w:link w:val="IntenseQuoteChar"/>
    <w:uiPriority w:val="30"/>
    <w:qFormat/>
    <w:rsid w:val="006E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335E"/>
    <w:rPr>
      <w:i/>
      <w:iCs/>
      <w:color w:val="2F5496" w:themeColor="accent1" w:themeShade="BF"/>
    </w:rPr>
  </w:style>
  <w:style w:type="character" w:styleId="IntenseReference">
    <w:name w:val="Intense Reference"/>
    <w:basedOn w:val="DefaultParagraphFont"/>
    <w:uiPriority w:val="32"/>
    <w:qFormat/>
    <w:rsid w:val="006E335E"/>
    <w:rPr>
      <w:b/>
      <w:bCs/>
      <w:smallCaps/>
      <w:color w:val="2F5496" w:themeColor="accent1" w:themeShade="BF"/>
      <w:spacing w:val="5"/>
    </w:rPr>
  </w:style>
  <w:style w:type="paragraph" w:styleId="Header">
    <w:name w:val="header"/>
    <w:basedOn w:val="Normal"/>
    <w:link w:val="HeaderChar"/>
    <w:uiPriority w:val="99"/>
    <w:unhideWhenUsed/>
    <w:rsid w:val="006E3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5E"/>
  </w:style>
  <w:style w:type="paragraph" w:styleId="Footer">
    <w:name w:val="footer"/>
    <w:basedOn w:val="Normal"/>
    <w:link w:val="FooterChar"/>
    <w:uiPriority w:val="99"/>
    <w:unhideWhenUsed/>
    <w:rsid w:val="006E3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5E"/>
  </w:style>
  <w:style w:type="paragraph" w:styleId="FootnoteText">
    <w:name w:val="footnote text"/>
    <w:basedOn w:val="Normal"/>
    <w:link w:val="FootnoteTextChar"/>
    <w:rsid w:val="006E335E"/>
    <w:pPr>
      <w:spacing w:after="0" w:line="240" w:lineRule="auto"/>
    </w:pPr>
    <w:rPr>
      <w:rFonts w:ascii="Times New Roman" w:eastAsia="Times New Roman" w:hAnsi="Times New Roman" w:cs="Times New Roman"/>
      <w:kern w:val="0"/>
      <w:sz w:val="20"/>
      <w14:ligatures w14:val="none"/>
    </w:rPr>
  </w:style>
  <w:style w:type="character" w:customStyle="1" w:styleId="FootnoteTextChar">
    <w:name w:val="Footnote Text Char"/>
    <w:basedOn w:val="DefaultParagraphFont"/>
    <w:link w:val="FootnoteText"/>
    <w:rsid w:val="006E335E"/>
    <w:rPr>
      <w:rFonts w:ascii="Times New Roman" w:eastAsia="Times New Roman" w:hAnsi="Times New Roman" w:cs="Times New Roman"/>
      <w:kern w:val="0"/>
      <w:sz w:val="20"/>
      <w14:ligatures w14:val="none"/>
    </w:rPr>
  </w:style>
  <w:style w:type="character" w:styleId="FootnoteReference">
    <w:name w:val="footnote reference"/>
    <w:basedOn w:val="DefaultParagraphFont"/>
    <w:rsid w:val="006E335E"/>
    <w:rPr>
      <w:vertAlign w:val="superscript"/>
    </w:rPr>
  </w:style>
  <w:style w:type="character" w:styleId="Hyperlink">
    <w:name w:val="Hyperlink"/>
    <w:rsid w:val="00F5088C"/>
    <w:rPr>
      <w:color w:val="0000FF"/>
      <w:u w:val="single"/>
    </w:rPr>
  </w:style>
  <w:style w:type="character" w:styleId="FollowedHyperlink">
    <w:name w:val="FollowedHyperlink"/>
    <w:basedOn w:val="DefaultParagraphFont"/>
    <w:uiPriority w:val="99"/>
    <w:semiHidden/>
    <w:unhideWhenUsed/>
    <w:rsid w:val="00F5088C"/>
    <w:rPr>
      <w:color w:val="954F72" w:themeColor="followedHyperlink"/>
      <w:u w:val="single"/>
    </w:rPr>
  </w:style>
  <w:style w:type="character" w:styleId="Emphasis">
    <w:name w:val="Emphasis"/>
    <w:basedOn w:val="DefaultParagraphFont"/>
    <w:uiPriority w:val="20"/>
    <w:qFormat/>
    <w:rsid w:val="008152B5"/>
    <w:rPr>
      <w:i/>
      <w:iCs/>
    </w:rPr>
  </w:style>
  <w:style w:type="character" w:styleId="UnresolvedMention">
    <w:name w:val="Unresolved Mention"/>
    <w:basedOn w:val="DefaultParagraphFont"/>
    <w:uiPriority w:val="99"/>
    <w:semiHidden/>
    <w:unhideWhenUsed/>
    <w:rsid w:val="008152B5"/>
    <w:rPr>
      <w:color w:val="605E5C"/>
      <w:shd w:val="clear" w:color="auto" w:fill="E1DFDD"/>
    </w:rPr>
  </w:style>
  <w:style w:type="character" w:styleId="PageNumber">
    <w:name w:val="page number"/>
    <w:basedOn w:val="DefaultParagraphFont"/>
    <w:uiPriority w:val="99"/>
    <w:semiHidden/>
    <w:unhideWhenUsed/>
    <w:rsid w:val="0049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52028">
      <w:bodyDiv w:val="1"/>
      <w:marLeft w:val="0"/>
      <w:marRight w:val="0"/>
      <w:marTop w:val="0"/>
      <w:marBottom w:val="0"/>
      <w:divBdr>
        <w:top w:val="none" w:sz="0" w:space="0" w:color="auto"/>
        <w:left w:val="none" w:sz="0" w:space="0" w:color="auto"/>
        <w:bottom w:val="none" w:sz="0" w:space="0" w:color="auto"/>
        <w:right w:val="none" w:sz="0" w:space="0" w:color="auto"/>
      </w:divBdr>
    </w:div>
    <w:div w:id="6886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asb.memberclicks.net/sample-accessibility-statement?servId=9667" TargetMode="External"/><Relationship Id="rId1" Type="http://schemas.openxmlformats.org/officeDocument/2006/relationships/hyperlink" Target="https://www.casb.org/foster-care-juvenile-justice-fa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Amspoker</dc:creator>
  <cp:keywords/>
  <dc:description/>
  <cp:lastModifiedBy>Rachel Amspoker</cp:lastModifiedBy>
  <cp:revision>8</cp:revision>
  <dcterms:created xsi:type="dcterms:W3CDTF">2025-04-30T23:02:00Z</dcterms:created>
  <dcterms:modified xsi:type="dcterms:W3CDTF">2025-06-18T18:30:00Z</dcterms:modified>
</cp:coreProperties>
</file>